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0265" w14:textId="54AC433C" w:rsidR="00E2797F" w:rsidRPr="00CC7D7D" w:rsidRDefault="00E2797F" w:rsidP="00E2797F">
      <w:pPr>
        <w:autoSpaceDE w:val="0"/>
        <w:autoSpaceDN w:val="0"/>
        <w:adjustRightInd w:val="0"/>
        <w:spacing w:after="0" w:line="240" w:lineRule="auto"/>
        <w:contextualSpacing/>
        <w:rPr>
          <w:rFonts w:ascii="Times New Roman" w:hAnsi="Times New Roman" w:cs="Times New Roman"/>
          <w:b/>
          <w:bCs/>
          <w:i/>
          <w:sz w:val="24"/>
          <w:szCs w:val="24"/>
        </w:rPr>
      </w:pPr>
      <w:bookmarkStart w:id="0" w:name="_GoBack"/>
      <w:bookmarkEnd w:id="0"/>
      <w:r w:rsidRPr="00CC7D7D">
        <w:rPr>
          <w:rFonts w:ascii="Times New Roman" w:hAnsi="Times New Roman" w:cs="Times New Roman"/>
          <w:b/>
          <w:bCs/>
          <w:i/>
          <w:sz w:val="24"/>
          <w:szCs w:val="24"/>
        </w:rPr>
        <w:t>Stewardship Investments</w:t>
      </w:r>
    </w:p>
    <w:p w14:paraId="52C6B4CE" w14:textId="77777777" w:rsidR="00E2797F" w:rsidRPr="00CC7D7D" w:rsidRDefault="00E2797F" w:rsidP="00E2797F">
      <w:pPr>
        <w:autoSpaceDE w:val="0"/>
        <w:autoSpaceDN w:val="0"/>
        <w:adjustRightInd w:val="0"/>
        <w:spacing w:after="0" w:line="240" w:lineRule="auto"/>
        <w:contextualSpacing/>
        <w:rPr>
          <w:rFonts w:ascii="Times New Roman" w:hAnsi="Times New Roman" w:cs="Times New Roman"/>
          <w:sz w:val="24"/>
          <w:szCs w:val="24"/>
        </w:rPr>
      </w:pPr>
    </w:p>
    <w:p w14:paraId="2C13340E" w14:textId="77777777" w:rsidR="00E2797F" w:rsidRPr="00CC7D7D" w:rsidRDefault="00E2797F" w:rsidP="00E2797F">
      <w:pPr>
        <w:autoSpaceDE w:val="0"/>
        <w:autoSpaceDN w:val="0"/>
        <w:adjustRightInd w:val="0"/>
        <w:spacing w:after="0" w:line="240" w:lineRule="auto"/>
        <w:contextualSpacing/>
        <w:rPr>
          <w:rFonts w:ascii="Times New Roman" w:hAnsi="Times New Roman" w:cs="Times New Roman"/>
          <w:sz w:val="24"/>
          <w:szCs w:val="24"/>
        </w:rPr>
      </w:pPr>
      <w:r w:rsidRPr="00CC7D7D">
        <w:rPr>
          <w:rFonts w:ascii="Times New Roman" w:hAnsi="Times New Roman" w:cs="Times New Roman"/>
          <w:sz w:val="24"/>
          <w:szCs w:val="24"/>
        </w:rPr>
        <w:t xml:space="preserve">Stewardship investments are substantial investments made by the federal government for the benefit of the nation, but are not physical assets owned by the federal government. </w:t>
      </w:r>
      <w:r w:rsidR="00E02DE7">
        <w:rPr>
          <w:rFonts w:ascii="Times New Roman" w:hAnsi="Times New Roman" w:cs="Times New Roman"/>
          <w:sz w:val="24"/>
          <w:szCs w:val="24"/>
        </w:rPr>
        <w:t xml:space="preserve"> </w:t>
      </w:r>
      <w:r w:rsidRPr="00CC7D7D">
        <w:rPr>
          <w:rFonts w:ascii="Times New Roman" w:hAnsi="Times New Roman" w:cs="Times New Roman"/>
          <w:sz w:val="24"/>
          <w:szCs w:val="24"/>
        </w:rPr>
        <w:t>Though treated as expenses when incurred to determine the Department’s Net Cost of Operations, these items merit special treatment so that users of federal financial reports know the extent of investments that are made for the long-term benefit of the nation.</w:t>
      </w:r>
    </w:p>
    <w:p w14:paraId="77C0C22B" w14:textId="77777777" w:rsidR="00E2797F" w:rsidRPr="00CC7D7D" w:rsidRDefault="00E2797F" w:rsidP="00E2797F">
      <w:pPr>
        <w:autoSpaceDE w:val="0"/>
        <w:autoSpaceDN w:val="0"/>
        <w:adjustRightInd w:val="0"/>
        <w:spacing w:after="0" w:line="240" w:lineRule="auto"/>
        <w:contextualSpacing/>
        <w:rPr>
          <w:rFonts w:ascii="Times New Roman" w:hAnsi="Times New Roman" w:cs="Times New Roman"/>
          <w:sz w:val="24"/>
          <w:szCs w:val="24"/>
        </w:rPr>
      </w:pPr>
    </w:p>
    <w:p w14:paraId="38E5D798" w14:textId="77777777" w:rsidR="00E2797F" w:rsidRPr="00CC7D7D" w:rsidRDefault="00E2797F" w:rsidP="00E2797F">
      <w:pPr>
        <w:autoSpaceDE w:val="0"/>
        <w:autoSpaceDN w:val="0"/>
        <w:adjustRightInd w:val="0"/>
        <w:spacing w:after="0" w:line="240" w:lineRule="auto"/>
        <w:contextualSpacing/>
        <w:rPr>
          <w:rFonts w:ascii="Times New Roman" w:hAnsi="Times New Roman" w:cs="Times New Roman"/>
          <w:b/>
          <w:i/>
          <w:sz w:val="24"/>
          <w:szCs w:val="24"/>
        </w:rPr>
      </w:pPr>
      <w:r w:rsidRPr="00CC7D7D">
        <w:rPr>
          <w:rFonts w:ascii="Times New Roman" w:hAnsi="Times New Roman" w:cs="Times New Roman"/>
          <w:b/>
          <w:i/>
          <w:sz w:val="24"/>
          <w:szCs w:val="24"/>
        </w:rPr>
        <w:t>Investments in Non-federal Physical Property:</w:t>
      </w:r>
    </w:p>
    <w:p w14:paraId="648CB251" w14:textId="77777777" w:rsidR="00E2797F" w:rsidRPr="00CC7D7D" w:rsidRDefault="00E2797F" w:rsidP="00E2797F">
      <w:pPr>
        <w:autoSpaceDE w:val="0"/>
        <w:autoSpaceDN w:val="0"/>
        <w:adjustRightInd w:val="0"/>
        <w:spacing w:after="0" w:line="240" w:lineRule="auto"/>
        <w:contextualSpacing/>
        <w:rPr>
          <w:rFonts w:ascii="Times New Roman" w:hAnsi="Times New Roman" w:cs="Times New Roman"/>
          <w:sz w:val="24"/>
          <w:szCs w:val="24"/>
        </w:rPr>
      </w:pPr>
    </w:p>
    <w:p w14:paraId="04A1ADF0" w14:textId="283720BC" w:rsidR="00E2797F" w:rsidRPr="00CC7D7D" w:rsidRDefault="00E2797F" w:rsidP="00E2797F">
      <w:pPr>
        <w:autoSpaceDE w:val="0"/>
        <w:autoSpaceDN w:val="0"/>
        <w:adjustRightInd w:val="0"/>
        <w:spacing w:after="0" w:line="240" w:lineRule="auto"/>
        <w:contextualSpacing/>
        <w:rPr>
          <w:rFonts w:ascii="Times New Roman" w:hAnsi="Times New Roman" w:cs="Times New Roman"/>
          <w:sz w:val="24"/>
          <w:szCs w:val="24"/>
        </w:rPr>
      </w:pPr>
      <w:r w:rsidRPr="00CC7D7D">
        <w:rPr>
          <w:rFonts w:ascii="Times New Roman" w:hAnsi="Times New Roman" w:cs="Times New Roman"/>
          <w:sz w:val="24"/>
          <w:szCs w:val="24"/>
        </w:rPr>
        <w:t>Non-federal physical property investments are expenses included in the Department’s Net Cost of Operations for the purchase, construction, or major renovation of physical property owned by state and local governments. Based on a review of the Department’s programs, EDA ha</w:t>
      </w:r>
      <w:r w:rsidR="002472C6">
        <w:rPr>
          <w:rFonts w:ascii="Times New Roman" w:hAnsi="Times New Roman" w:cs="Times New Roman"/>
          <w:sz w:val="24"/>
          <w:szCs w:val="24"/>
        </w:rPr>
        <w:t>s</w:t>
      </w:r>
      <w:r w:rsidRPr="00CC7D7D">
        <w:rPr>
          <w:rFonts w:ascii="Times New Roman" w:hAnsi="Times New Roman" w:cs="Times New Roman"/>
          <w:sz w:val="24"/>
          <w:szCs w:val="24"/>
        </w:rPr>
        <w:t xml:space="preserve"> significant investments in non-federal physical property.</w:t>
      </w:r>
    </w:p>
    <w:p w14:paraId="499A81DD" w14:textId="77777777" w:rsidR="00E2797F" w:rsidRPr="00CC7D7D" w:rsidRDefault="00E2797F" w:rsidP="00E2797F">
      <w:pPr>
        <w:autoSpaceDE w:val="0"/>
        <w:autoSpaceDN w:val="0"/>
        <w:adjustRightInd w:val="0"/>
        <w:spacing w:after="0" w:line="240" w:lineRule="auto"/>
        <w:contextualSpacing/>
        <w:rPr>
          <w:rFonts w:ascii="Times New Roman" w:hAnsi="Times New Roman" w:cs="Times New Roman"/>
          <w:sz w:val="24"/>
          <w:szCs w:val="24"/>
        </w:rPr>
      </w:pPr>
    </w:p>
    <w:p w14:paraId="4774E589" w14:textId="56F8E300" w:rsidR="004C08D9" w:rsidRDefault="00E2797F" w:rsidP="00E2797F">
      <w:pPr>
        <w:autoSpaceDE w:val="0"/>
        <w:autoSpaceDN w:val="0"/>
        <w:adjustRightInd w:val="0"/>
        <w:spacing w:after="0" w:line="240" w:lineRule="auto"/>
        <w:contextualSpacing/>
        <w:rPr>
          <w:rFonts w:ascii="Times New Roman" w:hAnsi="Times New Roman" w:cs="Times New Roman"/>
          <w:sz w:val="24"/>
          <w:szCs w:val="24"/>
        </w:rPr>
      </w:pPr>
      <w:r w:rsidRPr="00CC7D7D">
        <w:rPr>
          <w:rFonts w:ascii="Times New Roman" w:hAnsi="Times New Roman" w:cs="Times New Roman"/>
          <w:sz w:val="24"/>
          <w:szCs w:val="24"/>
        </w:rPr>
        <w:t>EDA’s investments in non-feder</w:t>
      </w:r>
      <w:r w:rsidR="00C8656A" w:rsidRPr="00CC7D7D">
        <w:rPr>
          <w:rFonts w:ascii="Times New Roman" w:hAnsi="Times New Roman" w:cs="Times New Roman"/>
          <w:sz w:val="24"/>
          <w:szCs w:val="24"/>
        </w:rPr>
        <w:t xml:space="preserve">al physical property for FY </w:t>
      </w:r>
      <w:r w:rsidR="00C31C48">
        <w:rPr>
          <w:rFonts w:ascii="Times New Roman" w:hAnsi="Times New Roman" w:cs="Times New Roman"/>
          <w:sz w:val="24"/>
          <w:szCs w:val="24"/>
        </w:rPr>
        <w:t>202</w:t>
      </w:r>
      <w:r w:rsidR="00716A85">
        <w:rPr>
          <w:rFonts w:ascii="Times New Roman" w:hAnsi="Times New Roman" w:cs="Times New Roman"/>
          <w:sz w:val="24"/>
          <w:szCs w:val="24"/>
        </w:rPr>
        <w:t>3</w:t>
      </w:r>
      <w:r w:rsidR="00BD56F6">
        <w:rPr>
          <w:rFonts w:ascii="Times New Roman" w:hAnsi="Times New Roman" w:cs="Times New Roman"/>
          <w:sz w:val="24"/>
          <w:szCs w:val="24"/>
        </w:rPr>
        <w:t xml:space="preserve"> and</w:t>
      </w:r>
      <w:r w:rsidR="00C8656A" w:rsidRPr="00CC7D7D">
        <w:rPr>
          <w:rFonts w:ascii="Times New Roman" w:hAnsi="Times New Roman" w:cs="Times New Roman"/>
          <w:sz w:val="24"/>
          <w:szCs w:val="24"/>
        </w:rPr>
        <w:t xml:space="preserve"> FY </w:t>
      </w:r>
      <w:r w:rsidR="00C31C48">
        <w:rPr>
          <w:rFonts w:ascii="Times New Roman" w:hAnsi="Times New Roman" w:cs="Times New Roman"/>
          <w:sz w:val="24"/>
          <w:szCs w:val="24"/>
        </w:rPr>
        <w:t>202</w:t>
      </w:r>
      <w:r w:rsidR="00716A85">
        <w:rPr>
          <w:rFonts w:ascii="Times New Roman" w:hAnsi="Times New Roman" w:cs="Times New Roman"/>
          <w:sz w:val="24"/>
          <w:szCs w:val="24"/>
        </w:rPr>
        <w:t>4</w:t>
      </w:r>
      <w:r w:rsidR="00DC2DEB" w:rsidRPr="00CC7D7D">
        <w:rPr>
          <w:rFonts w:ascii="Times New Roman" w:hAnsi="Times New Roman" w:cs="Times New Roman"/>
          <w:sz w:val="24"/>
          <w:szCs w:val="24"/>
        </w:rPr>
        <w:t xml:space="preserve"> </w:t>
      </w:r>
      <w:r w:rsidR="00BD56F6">
        <w:rPr>
          <w:rFonts w:ascii="Times New Roman" w:hAnsi="Times New Roman" w:cs="Times New Roman"/>
          <w:sz w:val="24"/>
          <w:szCs w:val="24"/>
        </w:rPr>
        <w:t>are</w:t>
      </w:r>
      <w:r w:rsidRPr="00CC7D7D">
        <w:rPr>
          <w:rFonts w:ascii="Times New Roman" w:hAnsi="Times New Roman" w:cs="Times New Roman"/>
          <w:sz w:val="24"/>
          <w:szCs w:val="24"/>
        </w:rPr>
        <w:t xml:space="preserve"> as follows</w:t>
      </w:r>
      <w:r w:rsidR="00E02DE7">
        <w:rPr>
          <w:rFonts w:ascii="Times New Roman" w:hAnsi="Times New Roman" w:cs="Times New Roman"/>
          <w:sz w:val="24"/>
          <w:szCs w:val="24"/>
        </w:rPr>
        <w:t xml:space="preserve"> (in millions)</w:t>
      </w:r>
      <w:r w:rsidRPr="00CC7D7D">
        <w:rPr>
          <w:rFonts w:ascii="Times New Roman" w:hAnsi="Times New Roman" w:cs="Times New Roman"/>
          <w:sz w:val="24"/>
          <w:szCs w:val="24"/>
        </w:rPr>
        <w:t>:</w:t>
      </w:r>
    </w:p>
    <w:tbl>
      <w:tblPr>
        <w:tblpPr w:leftFromText="180" w:rightFromText="180" w:vertAnchor="text" w:horzAnchor="margin" w:tblpY="176"/>
        <w:tblW w:w="9268" w:type="dxa"/>
        <w:tblLayout w:type="fixed"/>
        <w:tblCellMar>
          <w:left w:w="0" w:type="dxa"/>
          <w:right w:w="0" w:type="dxa"/>
        </w:tblCellMar>
        <w:tblLook w:val="0000" w:firstRow="0" w:lastRow="0" w:firstColumn="0" w:lastColumn="0" w:noHBand="0" w:noVBand="0"/>
      </w:tblPr>
      <w:tblGrid>
        <w:gridCol w:w="7145"/>
        <w:gridCol w:w="1113"/>
        <w:gridCol w:w="1010"/>
      </w:tblGrid>
      <w:tr w:rsidR="00BD56F6" w:rsidRPr="00BD56F6" w14:paraId="580E6BA2" w14:textId="77777777" w:rsidTr="00DF6EB7">
        <w:trPr>
          <w:trHeight w:val="257"/>
        </w:trPr>
        <w:tc>
          <w:tcPr>
            <w:tcW w:w="7145" w:type="dxa"/>
            <w:shd w:val="clear" w:color="auto" w:fill="000000"/>
            <w:noWrap/>
            <w:tcMar>
              <w:top w:w="15" w:type="dxa"/>
              <w:left w:w="15" w:type="dxa"/>
              <w:bottom w:w="0" w:type="dxa"/>
              <w:right w:w="15" w:type="dxa"/>
            </w:tcMar>
            <w:vAlign w:val="bottom"/>
          </w:tcPr>
          <w:p w14:paraId="6A9681F9" w14:textId="77777777" w:rsidR="00BD56F6" w:rsidRPr="00BD56F6" w:rsidRDefault="00BD56F6" w:rsidP="00BD56F6">
            <w:pPr>
              <w:spacing w:after="0" w:line="240" w:lineRule="auto"/>
              <w:jc w:val="center"/>
              <w:rPr>
                <w:rFonts w:ascii="Times New Roman" w:eastAsia="Arial Unicode MS" w:hAnsi="Times New Roman" w:cs="Times New Roman"/>
                <w:b/>
                <w:bCs/>
                <w:sz w:val="24"/>
                <w:szCs w:val="24"/>
              </w:rPr>
            </w:pPr>
            <w:r w:rsidRPr="00BD56F6">
              <w:rPr>
                <w:rFonts w:ascii="Times New Roman" w:eastAsia="Times New Roman" w:hAnsi="Times New Roman" w:cs="Times New Roman"/>
                <w:b/>
                <w:bCs/>
                <w:sz w:val="24"/>
                <w:szCs w:val="24"/>
              </w:rPr>
              <w:t>Program</w:t>
            </w:r>
          </w:p>
        </w:tc>
        <w:tc>
          <w:tcPr>
            <w:tcW w:w="1113" w:type="dxa"/>
            <w:tcBorders>
              <w:bottom w:val="single" w:sz="4" w:space="0" w:color="auto"/>
            </w:tcBorders>
            <w:shd w:val="clear" w:color="auto" w:fill="000000"/>
          </w:tcPr>
          <w:p w14:paraId="2B05190E" w14:textId="01A125B3" w:rsidR="00BD56F6" w:rsidRPr="00BD56F6" w:rsidRDefault="00DF6EB7" w:rsidP="00BD56F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FY 202</w:t>
            </w:r>
            <w:r w:rsidR="00716A85">
              <w:rPr>
                <w:rFonts w:ascii="Times New Roman" w:eastAsia="Times New Roman" w:hAnsi="Times New Roman" w:cs="Times New Roman"/>
                <w:b/>
                <w:bCs/>
                <w:sz w:val="24"/>
                <w:szCs w:val="24"/>
              </w:rPr>
              <w:t>4</w:t>
            </w:r>
          </w:p>
        </w:tc>
        <w:tc>
          <w:tcPr>
            <w:tcW w:w="1010" w:type="dxa"/>
            <w:tcBorders>
              <w:right w:val="single" w:sz="4" w:space="0" w:color="auto"/>
            </w:tcBorders>
            <w:shd w:val="clear" w:color="auto" w:fill="000000"/>
          </w:tcPr>
          <w:p w14:paraId="7D9F01A1" w14:textId="3056ABA0" w:rsidR="00BD56F6" w:rsidRPr="00BD56F6" w:rsidRDefault="00DF6EB7" w:rsidP="00BD56F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FY 202</w:t>
            </w:r>
            <w:r w:rsidR="00716A85">
              <w:rPr>
                <w:rFonts w:ascii="Times New Roman" w:eastAsia="Times New Roman" w:hAnsi="Times New Roman" w:cs="Times New Roman"/>
                <w:b/>
                <w:bCs/>
                <w:sz w:val="24"/>
                <w:szCs w:val="24"/>
              </w:rPr>
              <w:t>3</w:t>
            </w:r>
          </w:p>
        </w:tc>
      </w:tr>
      <w:tr w:rsidR="00FE3451" w:rsidRPr="00BD56F6" w14:paraId="51692D4F" w14:textId="77777777" w:rsidTr="00DF6EB7">
        <w:trPr>
          <w:trHeight w:val="257"/>
        </w:trPr>
        <w:tc>
          <w:tcPr>
            <w:tcW w:w="7145"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5F0027" w14:textId="77777777" w:rsidR="00FE3451" w:rsidRPr="00BD56F6" w:rsidRDefault="00FE3451" w:rsidP="00FE3451">
            <w:pPr>
              <w:spacing w:after="0" w:line="240" w:lineRule="auto"/>
              <w:rPr>
                <w:rFonts w:ascii="Times New Roman" w:eastAsia="Arial Unicode MS" w:hAnsi="Times New Roman" w:cs="Times New Roman"/>
                <w:sz w:val="24"/>
                <w:szCs w:val="24"/>
              </w:rPr>
            </w:pPr>
            <w:r w:rsidRPr="00BD56F6">
              <w:rPr>
                <w:rFonts w:ascii="Times New Roman" w:eastAsia="Arial Unicode MS" w:hAnsi="Times New Roman" w:cs="Times New Roman"/>
                <w:sz w:val="24"/>
                <w:szCs w:val="24"/>
              </w:rPr>
              <w:t>Public Works</w:t>
            </w:r>
          </w:p>
        </w:tc>
        <w:tc>
          <w:tcPr>
            <w:tcW w:w="1113" w:type="dxa"/>
            <w:tcBorders>
              <w:top w:val="single" w:sz="4" w:space="0" w:color="auto"/>
              <w:left w:val="nil"/>
              <w:bottom w:val="single" w:sz="4" w:space="0" w:color="auto"/>
              <w:right w:val="single" w:sz="4" w:space="0" w:color="auto"/>
            </w:tcBorders>
            <w:shd w:val="clear" w:color="auto" w:fill="auto"/>
            <w:vAlign w:val="bottom"/>
          </w:tcPr>
          <w:p w14:paraId="1695BF1F" w14:textId="3DF0E3FA" w:rsidR="00FE3451" w:rsidRPr="00FF5B53" w:rsidRDefault="00586187" w:rsidP="00FE3451">
            <w:pPr>
              <w:spacing w:after="0" w:line="240" w:lineRule="auto"/>
              <w:ind w:right="90"/>
              <w:jc w:val="right"/>
              <w:rPr>
                <w:rFonts w:ascii="Times New Roman" w:eastAsia="Arial Unicode MS" w:hAnsi="Times New Roman" w:cs="Times New Roman"/>
                <w:sz w:val="24"/>
                <w:szCs w:val="24"/>
                <w:highlight w:val="red"/>
              </w:rPr>
            </w:pPr>
            <w:r>
              <w:rPr>
                <w:rFonts w:ascii="Times New Roman" w:hAnsi="Times New Roman" w:cs="Times New Roman"/>
                <w:color w:val="000000"/>
                <w:sz w:val="24"/>
                <w:szCs w:val="24"/>
                <w:highlight w:val="red"/>
              </w:rPr>
              <w:t xml:space="preserve">$ </w:t>
            </w:r>
            <w:r w:rsidR="00716A85">
              <w:rPr>
                <w:rFonts w:ascii="Times New Roman" w:hAnsi="Times New Roman" w:cs="Times New Roman"/>
                <w:color w:val="000000"/>
                <w:sz w:val="24"/>
                <w:szCs w:val="24"/>
                <w:highlight w:val="red"/>
              </w:rPr>
              <w:t>0.0</w:t>
            </w:r>
            <w:r w:rsidR="00FE3451" w:rsidRPr="00FF5B53">
              <w:rPr>
                <w:rFonts w:ascii="Times New Roman" w:hAnsi="Times New Roman" w:cs="Times New Roman"/>
                <w:color w:val="000000"/>
                <w:sz w:val="24"/>
                <w:szCs w:val="24"/>
                <w:highlight w:val="red"/>
              </w:rPr>
              <w:t xml:space="preserve"> </w:t>
            </w:r>
          </w:p>
        </w:tc>
        <w:tc>
          <w:tcPr>
            <w:tcW w:w="1010" w:type="dxa"/>
            <w:tcBorders>
              <w:left w:val="single" w:sz="4" w:space="0" w:color="auto"/>
              <w:bottom w:val="single" w:sz="4" w:space="0" w:color="auto"/>
              <w:right w:val="single" w:sz="4" w:space="0" w:color="auto"/>
            </w:tcBorders>
            <w:shd w:val="clear" w:color="auto" w:fill="auto"/>
            <w:vAlign w:val="bottom"/>
          </w:tcPr>
          <w:p w14:paraId="09D1D1C5" w14:textId="707F6C37" w:rsidR="00FE3451" w:rsidRPr="00BD56F6" w:rsidRDefault="00FE3451" w:rsidP="0034480A">
            <w:pPr>
              <w:spacing w:after="0" w:line="240" w:lineRule="auto"/>
              <w:ind w:right="90"/>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DF6EB7">
              <w:rPr>
                <w:rFonts w:ascii="Times New Roman" w:eastAsia="Arial Unicode MS" w:hAnsi="Times New Roman" w:cs="Times New Roman"/>
                <w:sz w:val="24"/>
                <w:szCs w:val="24"/>
              </w:rPr>
              <w:t xml:space="preserve"> 12</w:t>
            </w:r>
            <w:r w:rsidR="00E87E0A">
              <w:rPr>
                <w:rFonts w:ascii="Times New Roman" w:eastAsia="Arial Unicode MS" w:hAnsi="Times New Roman" w:cs="Times New Roman"/>
                <w:sz w:val="24"/>
                <w:szCs w:val="24"/>
              </w:rPr>
              <w:t>6</w:t>
            </w:r>
            <w:r w:rsidR="00DF6EB7">
              <w:rPr>
                <w:rFonts w:ascii="Times New Roman" w:eastAsia="Arial Unicode MS" w:hAnsi="Times New Roman" w:cs="Times New Roman"/>
                <w:sz w:val="24"/>
                <w:szCs w:val="24"/>
              </w:rPr>
              <w:t>.7</w:t>
            </w:r>
          </w:p>
        </w:tc>
      </w:tr>
      <w:tr w:rsidR="00FE3451" w:rsidRPr="00BD56F6" w14:paraId="374C6579" w14:textId="77777777" w:rsidTr="00DF6EB7">
        <w:trPr>
          <w:trHeight w:val="257"/>
        </w:trPr>
        <w:tc>
          <w:tcPr>
            <w:tcW w:w="7145"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FC191F" w14:textId="77777777" w:rsidR="00FE3451" w:rsidRPr="00BD56F6" w:rsidRDefault="00FE3451" w:rsidP="00FE3451">
            <w:pPr>
              <w:spacing w:after="0" w:line="240" w:lineRule="auto"/>
              <w:rPr>
                <w:rFonts w:ascii="Times New Roman" w:eastAsia="Times New Roman" w:hAnsi="Times New Roman" w:cs="Times New Roman"/>
                <w:sz w:val="24"/>
                <w:szCs w:val="24"/>
              </w:rPr>
            </w:pPr>
            <w:r w:rsidRPr="00BD56F6">
              <w:rPr>
                <w:rFonts w:ascii="Times New Roman" w:eastAsia="Times New Roman" w:hAnsi="Times New Roman" w:cs="Times New Roman"/>
                <w:sz w:val="24"/>
                <w:szCs w:val="24"/>
              </w:rPr>
              <w:t>Economic Adjustment Assistance</w:t>
            </w:r>
          </w:p>
        </w:tc>
        <w:tc>
          <w:tcPr>
            <w:tcW w:w="1113" w:type="dxa"/>
            <w:tcBorders>
              <w:top w:val="single" w:sz="4" w:space="0" w:color="auto"/>
              <w:left w:val="nil"/>
              <w:bottom w:val="single" w:sz="4" w:space="0" w:color="auto"/>
              <w:right w:val="single" w:sz="4" w:space="0" w:color="auto"/>
            </w:tcBorders>
            <w:shd w:val="clear" w:color="auto" w:fill="auto"/>
            <w:vAlign w:val="bottom"/>
          </w:tcPr>
          <w:p w14:paraId="445CA9E8" w14:textId="4CE0BABA" w:rsidR="00FE3451" w:rsidRPr="00FF5B53" w:rsidRDefault="00716A85" w:rsidP="00FE3451">
            <w:pPr>
              <w:spacing w:after="0" w:line="240" w:lineRule="auto"/>
              <w:ind w:right="90"/>
              <w:jc w:val="right"/>
              <w:rPr>
                <w:rFonts w:ascii="Times New Roman" w:eastAsia="Times New Roman" w:hAnsi="Times New Roman" w:cs="Times New Roman"/>
                <w:sz w:val="24"/>
                <w:szCs w:val="24"/>
                <w:highlight w:val="red"/>
              </w:rPr>
            </w:pPr>
            <w:r>
              <w:rPr>
                <w:rFonts w:ascii="Times New Roman" w:hAnsi="Times New Roman" w:cs="Times New Roman"/>
                <w:color w:val="000000"/>
                <w:sz w:val="24"/>
                <w:szCs w:val="24"/>
                <w:highlight w:val="red"/>
              </w:rPr>
              <w:t>0</w:t>
            </w:r>
            <w:r w:rsidR="00E822B9">
              <w:rPr>
                <w:rFonts w:ascii="Times New Roman" w:hAnsi="Times New Roman" w:cs="Times New Roman"/>
                <w:color w:val="000000"/>
                <w:sz w:val="24"/>
                <w:szCs w:val="24"/>
                <w:highlight w:val="red"/>
              </w:rPr>
              <w:t>.0</w:t>
            </w:r>
          </w:p>
        </w:tc>
        <w:tc>
          <w:tcPr>
            <w:tcW w:w="1010" w:type="dxa"/>
            <w:tcBorders>
              <w:left w:val="single" w:sz="4" w:space="0" w:color="auto"/>
              <w:bottom w:val="single" w:sz="4" w:space="0" w:color="auto"/>
              <w:right w:val="single" w:sz="4" w:space="0" w:color="auto"/>
            </w:tcBorders>
            <w:shd w:val="clear" w:color="auto" w:fill="auto"/>
            <w:vAlign w:val="bottom"/>
          </w:tcPr>
          <w:p w14:paraId="31EEF57C" w14:textId="58CBC9E0" w:rsidR="00FE3451" w:rsidRPr="00BD56F6" w:rsidRDefault="00FE3451" w:rsidP="0034480A">
            <w:pPr>
              <w:spacing w:after="0" w:line="240" w:lineRule="auto"/>
              <w:ind w:right="9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7E0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E87E0A">
              <w:rPr>
                <w:rFonts w:ascii="Times New Roman" w:eastAsia="Times New Roman" w:hAnsi="Times New Roman" w:cs="Times New Roman"/>
                <w:sz w:val="24"/>
                <w:szCs w:val="24"/>
              </w:rPr>
              <w:t>2</w:t>
            </w:r>
          </w:p>
        </w:tc>
      </w:tr>
      <w:tr w:rsidR="00FE3451" w:rsidRPr="00BD56F6" w14:paraId="234B0BBC" w14:textId="77777777" w:rsidTr="00DF6EB7">
        <w:trPr>
          <w:trHeight w:val="257"/>
        </w:trPr>
        <w:tc>
          <w:tcPr>
            <w:tcW w:w="71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DD9B1E" w14:textId="130394A7" w:rsidR="00FE3451" w:rsidRPr="00EE3D53" w:rsidRDefault="00FE3451" w:rsidP="00FE3451">
            <w:pPr>
              <w:spacing w:after="0" w:line="240" w:lineRule="auto"/>
              <w:ind w:left="-15"/>
              <w:rPr>
                <w:rFonts w:ascii="Times New Roman" w:eastAsia="Arial Unicode MS" w:hAnsi="Times New Roman" w:cs="Times New Roman"/>
                <w:sz w:val="24"/>
                <w:szCs w:val="24"/>
              </w:rPr>
            </w:pPr>
            <w:r w:rsidRPr="00EE3D53">
              <w:rPr>
                <w:rFonts w:ascii="Times New Roman" w:eastAsia="Times New Roman" w:hAnsi="Times New Roman" w:cs="Times New Roman"/>
                <w:iCs/>
                <w:sz w:val="24"/>
                <w:szCs w:val="24"/>
              </w:rPr>
              <w:t>Assistance to Coal Communities</w:t>
            </w:r>
            <w:r w:rsidRPr="00EE3D53">
              <w:rPr>
                <w:rFonts w:ascii="Times New Roman" w:eastAsia="Arial Unicode MS" w:hAnsi="Times New Roman" w:cs="Times New Roman"/>
                <w:sz w:val="24"/>
                <w:szCs w:val="24"/>
              </w:rPr>
              <w:t xml:space="preserve"> </w:t>
            </w:r>
          </w:p>
        </w:tc>
        <w:tc>
          <w:tcPr>
            <w:tcW w:w="1113" w:type="dxa"/>
            <w:tcBorders>
              <w:top w:val="single" w:sz="4" w:space="0" w:color="auto"/>
              <w:left w:val="nil"/>
              <w:bottom w:val="single" w:sz="4" w:space="0" w:color="auto"/>
              <w:right w:val="single" w:sz="4" w:space="0" w:color="auto"/>
            </w:tcBorders>
            <w:shd w:val="clear" w:color="auto" w:fill="auto"/>
            <w:vAlign w:val="bottom"/>
          </w:tcPr>
          <w:p w14:paraId="38947E4E" w14:textId="78C60A59" w:rsidR="00FE3451" w:rsidRPr="00FF5B53" w:rsidRDefault="00716A85" w:rsidP="00FE3451">
            <w:pPr>
              <w:spacing w:after="0" w:line="240" w:lineRule="auto"/>
              <w:ind w:right="90"/>
              <w:jc w:val="right"/>
              <w:rPr>
                <w:rFonts w:ascii="Times New Roman" w:hAnsi="Times New Roman" w:cs="Times New Roman"/>
                <w:color w:val="000000"/>
                <w:sz w:val="24"/>
                <w:szCs w:val="24"/>
                <w:highlight w:val="red"/>
              </w:rPr>
            </w:pPr>
            <w:r>
              <w:rPr>
                <w:rFonts w:ascii="Times New Roman" w:hAnsi="Times New Roman" w:cs="Times New Roman"/>
                <w:color w:val="000000"/>
                <w:sz w:val="24"/>
                <w:szCs w:val="24"/>
                <w:highlight w:val="red"/>
              </w:rPr>
              <w:t>0.0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14:paraId="33BE36DA" w14:textId="4821CE01" w:rsidR="00FE3451" w:rsidRPr="00C641B1" w:rsidRDefault="00E87E0A" w:rsidP="00FE3451">
            <w:pPr>
              <w:spacing w:after="0" w:line="240" w:lineRule="auto"/>
              <w:ind w:right="90"/>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DF6EB7">
              <w:rPr>
                <w:rFonts w:ascii="Times New Roman" w:eastAsia="Arial Unicode MS" w:hAnsi="Times New Roman" w:cs="Times New Roman"/>
                <w:sz w:val="24"/>
                <w:szCs w:val="24"/>
              </w:rPr>
              <w:t>4.</w:t>
            </w:r>
            <w:r>
              <w:rPr>
                <w:rFonts w:ascii="Times New Roman" w:eastAsia="Arial Unicode MS" w:hAnsi="Times New Roman" w:cs="Times New Roman"/>
                <w:sz w:val="24"/>
                <w:szCs w:val="24"/>
              </w:rPr>
              <w:t>3</w:t>
            </w:r>
          </w:p>
        </w:tc>
      </w:tr>
      <w:tr w:rsidR="00FE3451" w:rsidRPr="00BD56F6" w14:paraId="690E5324" w14:textId="77777777" w:rsidTr="00DF6EB7">
        <w:trPr>
          <w:trHeight w:val="257"/>
        </w:trPr>
        <w:tc>
          <w:tcPr>
            <w:tcW w:w="7145"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8EE473" w14:textId="77777777" w:rsidR="00FE3451" w:rsidRPr="00EE3D53" w:rsidRDefault="00FE3451" w:rsidP="00FE3451">
            <w:pPr>
              <w:spacing w:after="0" w:line="240" w:lineRule="auto"/>
              <w:ind w:left="-15"/>
              <w:rPr>
                <w:rFonts w:ascii="Times New Roman" w:eastAsia="Times New Roman" w:hAnsi="Times New Roman" w:cs="Times New Roman"/>
                <w:iCs/>
                <w:sz w:val="24"/>
                <w:szCs w:val="24"/>
              </w:rPr>
            </w:pPr>
            <w:r w:rsidRPr="00EE3D53">
              <w:rPr>
                <w:rFonts w:ascii="Times New Roman" w:eastAsia="Times New Roman" w:hAnsi="Times New Roman" w:cs="Times New Roman"/>
                <w:iCs/>
                <w:sz w:val="24"/>
                <w:szCs w:val="24"/>
              </w:rPr>
              <w:t>Assistance to Nuclear Closure Communities</w:t>
            </w:r>
          </w:p>
        </w:tc>
        <w:tc>
          <w:tcPr>
            <w:tcW w:w="1113" w:type="dxa"/>
            <w:tcBorders>
              <w:top w:val="single" w:sz="4" w:space="0" w:color="auto"/>
              <w:left w:val="nil"/>
              <w:bottom w:val="single" w:sz="4" w:space="0" w:color="auto"/>
              <w:right w:val="single" w:sz="4" w:space="0" w:color="auto"/>
            </w:tcBorders>
            <w:shd w:val="clear" w:color="auto" w:fill="auto"/>
            <w:vAlign w:val="bottom"/>
          </w:tcPr>
          <w:p w14:paraId="75DEE4AB" w14:textId="27977A02" w:rsidR="00FE3451" w:rsidRPr="00FF5B53" w:rsidRDefault="007D2E70" w:rsidP="00FE3451">
            <w:pPr>
              <w:spacing w:after="0" w:line="240" w:lineRule="auto"/>
              <w:ind w:right="90"/>
              <w:jc w:val="right"/>
              <w:rPr>
                <w:rFonts w:ascii="Times New Roman" w:hAnsi="Times New Roman" w:cs="Times New Roman"/>
                <w:iCs/>
                <w:color w:val="000000"/>
                <w:sz w:val="24"/>
                <w:szCs w:val="24"/>
                <w:highlight w:val="red"/>
              </w:rPr>
            </w:pPr>
            <w:r>
              <w:rPr>
                <w:rFonts w:ascii="Times New Roman" w:hAnsi="Times New Roman" w:cs="Times New Roman"/>
                <w:iCs/>
                <w:color w:val="000000"/>
                <w:sz w:val="24"/>
                <w:szCs w:val="24"/>
                <w:highlight w:val="red"/>
              </w:rPr>
              <w:t>0</w:t>
            </w:r>
            <w:r w:rsidR="008441E3">
              <w:rPr>
                <w:rFonts w:ascii="Times New Roman" w:hAnsi="Times New Roman" w:cs="Times New Roman"/>
                <w:iCs/>
                <w:color w:val="000000"/>
                <w:sz w:val="24"/>
                <w:szCs w:val="24"/>
                <w:highlight w:val="red"/>
              </w:rPr>
              <w:t>.0</w:t>
            </w:r>
          </w:p>
        </w:tc>
        <w:tc>
          <w:tcPr>
            <w:tcW w:w="1010" w:type="dxa"/>
            <w:tcBorders>
              <w:left w:val="single" w:sz="4" w:space="0" w:color="auto"/>
              <w:bottom w:val="single" w:sz="4" w:space="0" w:color="auto"/>
              <w:right w:val="single" w:sz="4" w:space="0" w:color="auto"/>
            </w:tcBorders>
            <w:shd w:val="clear" w:color="auto" w:fill="auto"/>
            <w:vAlign w:val="bottom"/>
          </w:tcPr>
          <w:p w14:paraId="02F76C9C" w14:textId="271D941F" w:rsidR="00FE3451" w:rsidRPr="00CE3890" w:rsidRDefault="00E87E0A" w:rsidP="0034480A">
            <w:pPr>
              <w:spacing w:after="0" w:line="240" w:lineRule="auto"/>
              <w:ind w:right="90"/>
              <w:jc w:val="righ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0.0</w:t>
            </w:r>
          </w:p>
        </w:tc>
      </w:tr>
      <w:tr w:rsidR="00FE3451" w:rsidRPr="00BD56F6" w14:paraId="4AF7A578" w14:textId="77777777" w:rsidTr="00DF6EB7">
        <w:trPr>
          <w:trHeight w:val="257"/>
        </w:trPr>
        <w:tc>
          <w:tcPr>
            <w:tcW w:w="7145"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DA2B6C" w14:textId="0AB90707" w:rsidR="00FE3451" w:rsidRPr="00EE3D53" w:rsidRDefault="00FE3451" w:rsidP="00FE3451">
            <w:pPr>
              <w:spacing w:after="0" w:line="240" w:lineRule="auto"/>
              <w:ind w:left="-15"/>
              <w:rPr>
                <w:rFonts w:ascii="Times New Roman" w:eastAsia="Times New Roman" w:hAnsi="Times New Roman" w:cs="Times New Roman"/>
                <w:iCs/>
                <w:sz w:val="24"/>
                <w:szCs w:val="24"/>
              </w:rPr>
            </w:pPr>
            <w:r w:rsidRPr="00EE3D53">
              <w:rPr>
                <w:rFonts w:ascii="Times New Roman" w:eastAsia="Arial Unicode MS" w:hAnsi="Times New Roman" w:cs="Times New Roman"/>
                <w:iCs/>
                <w:sz w:val="24"/>
                <w:szCs w:val="24"/>
              </w:rPr>
              <w:t>Disaster Recovery</w:t>
            </w:r>
          </w:p>
        </w:tc>
        <w:tc>
          <w:tcPr>
            <w:tcW w:w="1113" w:type="dxa"/>
            <w:tcBorders>
              <w:top w:val="single" w:sz="4" w:space="0" w:color="auto"/>
              <w:left w:val="nil"/>
              <w:bottom w:val="single" w:sz="4" w:space="0" w:color="auto"/>
              <w:right w:val="single" w:sz="4" w:space="0" w:color="auto"/>
            </w:tcBorders>
            <w:shd w:val="clear" w:color="auto" w:fill="auto"/>
            <w:vAlign w:val="bottom"/>
          </w:tcPr>
          <w:p w14:paraId="7BC0D900" w14:textId="1A7C76E6" w:rsidR="00FE3451" w:rsidRPr="00FF5B53" w:rsidRDefault="00716A85" w:rsidP="00FE3451">
            <w:pPr>
              <w:spacing w:after="0" w:line="240" w:lineRule="auto"/>
              <w:ind w:right="90"/>
              <w:jc w:val="right"/>
              <w:rPr>
                <w:rFonts w:ascii="Times New Roman" w:hAnsi="Times New Roman" w:cs="Times New Roman"/>
                <w:iCs/>
                <w:color w:val="000000"/>
                <w:sz w:val="24"/>
                <w:szCs w:val="24"/>
                <w:highlight w:val="red"/>
              </w:rPr>
            </w:pPr>
            <w:r>
              <w:rPr>
                <w:rFonts w:ascii="Times New Roman" w:hAnsi="Times New Roman" w:cs="Times New Roman"/>
                <w:iCs/>
                <w:color w:val="000000"/>
                <w:sz w:val="24"/>
                <w:szCs w:val="24"/>
                <w:highlight w:val="red"/>
              </w:rPr>
              <w:t>0.0</w:t>
            </w:r>
          </w:p>
        </w:tc>
        <w:tc>
          <w:tcPr>
            <w:tcW w:w="1010" w:type="dxa"/>
            <w:tcBorders>
              <w:left w:val="single" w:sz="4" w:space="0" w:color="auto"/>
              <w:bottom w:val="single" w:sz="4" w:space="0" w:color="auto"/>
              <w:right w:val="single" w:sz="4" w:space="0" w:color="auto"/>
            </w:tcBorders>
            <w:shd w:val="clear" w:color="auto" w:fill="auto"/>
            <w:vAlign w:val="bottom"/>
          </w:tcPr>
          <w:p w14:paraId="3051BE20" w14:textId="58F0DB1C" w:rsidR="00FE3451" w:rsidRPr="00CE3890" w:rsidRDefault="00E87E0A" w:rsidP="00FE3451">
            <w:pPr>
              <w:spacing w:after="0" w:line="240" w:lineRule="auto"/>
              <w:ind w:right="90"/>
              <w:jc w:val="right"/>
              <w:rPr>
                <w:rFonts w:ascii="Times New Roman" w:eastAsia="Times New Roman" w:hAnsi="Times New Roman" w:cs="Times New Roman"/>
                <w:iCs/>
                <w:sz w:val="24"/>
                <w:szCs w:val="24"/>
              </w:rPr>
            </w:pPr>
            <w:r>
              <w:rPr>
                <w:rFonts w:ascii="Times New Roman" w:eastAsia="Arial Unicode MS" w:hAnsi="Times New Roman" w:cs="Times New Roman"/>
                <w:iCs/>
                <w:sz w:val="24"/>
                <w:szCs w:val="24"/>
              </w:rPr>
              <w:t>63</w:t>
            </w:r>
            <w:r w:rsidR="00DF6EB7">
              <w:rPr>
                <w:rFonts w:ascii="Times New Roman" w:eastAsia="Arial Unicode MS" w:hAnsi="Times New Roman" w:cs="Times New Roman"/>
                <w:iCs/>
                <w:sz w:val="24"/>
                <w:szCs w:val="24"/>
              </w:rPr>
              <w:t>.5</w:t>
            </w:r>
          </w:p>
        </w:tc>
      </w:tr>
      <w:tr w:rsidR="00FE3451" w:rsidRPr="00BD56F6" w14:paraId="5BFEE449" w14:textId="77777777" w:rsidTr="00DF6EB7">
        <w:trPr>
          <w:trHeight w:val="257"/>
        </w:trPr>
        <w:tc>
          <w:tcPr>
            <w:tcW w:w="7145"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0DEA2A" w14:textId="1B7CE835" w:rsidR="00FE3451" w:rsidRPr="00FF69C2" w:rsidRDefault="004B2536" w:rsidP="00FE3451">
            <w:pPr>
              <w:spacing w:after="0" w:line="240" w:lineRule="auto"/>
              <w:ind w:left="-15"/>
              <w:rPr>
                <w:rFonts w:ascii="Times New Roman" w:eastAsia="Times New Roman" w:hAnsi="Times New Roman" w:cs="Times New Roman"/>
                <w:i/>
                <w:iCs/>
                <w:sz w:val="24"/>
                <w:szCs w:val="24"/>
                <w:highlight w:val="yellow"/>
              </w:rPr>
            </w:pPr>
            <w:r w:rsidRPr="007D597A">
              <w:rPr>
                <w:rFonts w:ascii="Times New Roman" w:eastAsia="Arial Unicode MS" w:hAnsi="Times New Roman" w:cs="Times New Roman"/>
                <w:sz w:val="24"/>
                <w:szCs w:val="24"/>
              </w:rPr>
              <w:t>COVID-19 Relief</w:t>
            </w:r>
          </w:p>
        </w:tc>
        <w:tc>
          <w:tcPr>
            <w:tcW w:w="1113" w:type="dxa"/>
            <w:tcBorders>
              <w:top w:val="single" w:sz="4" w:space="0" w:color="auto"/>
              <w:left w:val="nil"/>
              <w:bottom w:val="single" w:sz="4" w:space="0" w:color="auto"/>
              <w:right w:val="single" w:sz="4" w:space="0" w:color="auto"/>
            </w:tcBorders>
            <w:shd w:val="clear" w:color="auto" w:fill="auto"/>
            <w:vAlign w:val="bottom"/>
          </w:tcPr>
          <w:p w14:paraId="5DDD0FF1" w14:textId="4DCF7ED4" w:rsidR="00FE3451" w:rsidRPr="007D597A" w:rsidRDefault="007D2E70" w:rsidP="00FE3451">
            <w:pPr>
              <w:spacing w:after="0" w:line="240" w:lineRule="auto"/>
              <w:ind w:right="90"/>
              <w:jc w:val="right"/>
              <w:rPr>
                <w:rFonts w:ascii="Times New Roman" w:eastAsia="Times New Roman" w:hAnsi="Times New Roman" w:cs="Times New Roman"/>
                <w:iCs/>
                <w:sz w:val="24"/>
                <w:szCs w:val="24"/>
              </w:rPr>
            </w:pPr>
            <w:r w:rsidRPr="007D597A">
              <w:rPr>
                <w:rFonts w:ascii="Times New Roman" w:hAnsi="Times New Roman" w:cs="Times New Roman"/>
                <w:iCs/>
                <w:color w:val="000000"/>
                <w:sz w:val="24"/>
                <w:szCs w:val="24"/>
                <w:highlight w:val="red"/>
              </w:rPr>
              <w:t>0</w:t>
            </w:r>
            <w:r w:rsidR="008441E3" w:rsidRPr="007D597A">
              <w:rPr>
                <w:rFonts w:ascii="Times New Roman" w:hAnsi="Times New Roman" w:cs="Times New Roman"/>
                <w:iCs/>
                <w:color w:val="000000"/>
                <w:sz w:val="24"/>
                <w:szCs w:val="24"/>
                <w:highlight w:val="red"/>
              </w:rPr>
              <w:t>.0</w:t>
            </w:r>
          </w:p>
        </w:tc>
        <w:tc>
          <w:tcPr>
            <w:tcW w:w="1010" w:type="dxa"/>
            <w:tcBorders>
              <w:left w:val="single" w:sz="4" w:space="0" w:color="auto"/>
              <w:bottom w:val="single" w:sz="4" w:space="0" w:color="auto"/>
              <w:right w:val="single" w:sz="4" w:space="0" w:color="auto"/>
            </w:tcBorders>
            <w:shd w:val="clear" w:color="auto" w:fill="auto"/>
            <w:vAlign w:val="bottom"/>
          </w:tcPr>
          <w:p w14:paraId="04B983B8" w14:textId="2DFEC4A6" w:rsidR="00FE3451" w:rsidRPr="007D597A" w:rsidRDefault="00E87E0A" w:rsidP="00FE3451">
            <w:pPr>
              <w:spacing w:after="0" w:line="240" w:lineRule="auto"/>
              <w:ind w:right="90"/>
              <w:jc w:val="righ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r w:rsidR="00DF6EB7" w:rsidRPr="007D597A">
              <w:rPr>
                <w:rFonts w:ascii="Times New Roman" w:eastAsia="Times New Roman" w:hAnsi="Times New Roman" w:cs="Times New Roman"/>
                <w:iCs/>
                <w:sz w:val="24"/>
                <w:szCs w:val="24"/>
              </w:rPr>
              <w:t>.8</w:t>
            </w:r>
          </w:p>
        </w:tc>
      </w:tr>
      <w:tr w:rsidR="00FE3451" w:rsidRPr="009B1058" w14:paraId="0D52A032" w14:textId="77777777" w:rsidTr="00DF6EB7">
        <w:trPr>
          <w:trHeight w:val="257"/>
        </w:trPr>
        <w:tc>
          <w:tcPr>
            <w:tcW w:w="71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B96038" w14:textId="77777777" w:rsidR="00FE3451" w:rsidRPr="00BD56F6" w:rsidRDefault="00FE3451" w:rsidP="00FE3451">
            <w:pPr>
              <w:spacing w:after="0" w:line="240" w:lineRule="auto"/>
              <w:rPr>
                <w:rFonts w:ascii="Times New Roman" w:eastAsia="Arial Unicode MS" w:hAnsi="Times New Roman" w:cs="Times New Roman"/>
                <w:b/>
                <w:bCs/>
                <w:sz w:val="24"/>
                <w:szCs w:val="24"/>
              </w:rPr>
            </w:pPr>
            <w:r w:rsidRPr="00BD56F6">
              <w:rPr>
                <w:rFonts w:ascii="Times New Roman" w:eastAsia="Times New Roman" w:hAnsi="Times New Roman" w:cs="Times New Roman"/>
                <w:b/>
                <w:bCs/>
                <w:sz w:val="24"/>
                <w:szCs w:val="24"/>
              </w:rPr>
              <w:t>Total</w:t>
            </w:r>
          </w:p>
        </w:tc>
        <w:tc>
          <w:tcPr>
            <w:tcW w:w="1113" w:type="dxa"/>
            <w:tcBorders>
              <w:top w:val="single" w:sz="4" w:space="0" w:color="auto"/>
              <w:left w:val="nil"/>
              <w:bottom w:val="single" w:sz="4" w:space="0" w:color="auto"/>
              <w:right w:val="single" w:sz="4" w:space="0" w:color="auto"/>
            </w:tcBorders>
            <w:shd w:val="clear" w:color="auto" w:fill="auto"/>
            <w:vAlign w:val="bottom"/>
          </w:tcPr>
          <w:p w14:paraId="45AD139E" w14:textId="148C093B" w:rsidR="00FE3451" w:rsidRPr="00FF5B53" w:rsidRDefault="00586187" w:rsidP="00FE3451">
            <w:pPr>
              <w:spacing w:after="0" w:line="240" w:lineRule="auto"/>
              <w:ind w:right="90"/>
              <w:jc w:val="right"/>
              <w:rPr>
                <w:rFonts w:ascii="Times New Roman" w:eastAsia="Arial Unicode MS" w:hAnsi="Times New Roman" w:cs="Times New Roman"/>
                <w:b/>
                <w:bCs/>
                <w:sz w:val="24"/>
                <w:szCs w:val="24"/>
                <w:highlight w:val="red"/>
              </w:rPr>
            </w:pPr>
            <w:r>
              <w:rPr>
                <w:rFonts w:ascii="Times New Roman" w:hAnsi="Times New Roman" w:cs="Times New Roman"/>
                <w:b/>
                <w:bCs/>
                <w:color w:val="000000"/>
                <w:sz w:val="24"/>
                <w:szCs w:val="24"/>
                <w:highlight w:val="red"/>
              </w:rPr>
              <w:t xml:space="preserve">$ </w:t>
            </w:r>
            <w:r w:rsidR="00716A85">
              <w:rPr>
                <w:rFonts w:ascii="Times New Roman" w:hAnsi="Times New Roman" w:cs="Times New Roman"/>
                <w:b/>
                <w:bCs/>
                <w:color w:val="000000"/>
                <w:sz w:val="24"/>
                <w:szCs w:val="24"/>
                <w:highlight w:val="red"/>
              </w:rPr>
              <w:t>0.0</w:t>
            </w:r>
            <w:r w:rsidR="00FE3451" w:rsidRPr="00FF5B53">
              <w:rPr>
                <w:rFonts w:ascii="Times New Roman" w:hAnsi="Times New Roman" w:cs="Times New Roman"/>
                <w:b/>
                <w:bCs/>
                <w:color w:val="000000"/>
                <w:sz w:val="24"/>
                <w:szCs w:val="24"/>
                <w:highlight w:val="red"/>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14:paraId="1BD674FC" w14:textId="5C1952FB" w:rsidR="00FE3451" w:rsidRPr="005F35F5" w:rsidRDefault="00FE3451" w:rsidP="0034480A">
            <w:pPr>
              <w:spacing w:after="0" w:line="240" w:lineRule="auto"/>
              <w:ind w:right="90"/>
              <w:jc w:val="right"/>
              <w:rPr>
                <w:rFonts w:ascii="Times New Roman" w:eastAsia="Arial Unicode MS" w:hAnsi="Times New Roman" w:cs="Times New Roman"/>
                <w:b/>
                <w:bCs/>
                <w:sz w:val="24"/>
                <w:szCs w:val="24"/>
              </w:rPr>
            </w:pPr>
            <w:r w:rsidRPr="005F35F5">
              <w:rPr>
                <w:rFonts w:ascii="Times New Roman" w:eastAsia="Arial Unicode MS" w:hAnsi="Times New Roman" w:cs="Times New Roman"/>
                <w:b/>
                <w:bCs/>
                <w:sz w:val="24"/>
                <w:szCs w:val="24"/>
              </w:rPr>
              <w:t xml:space="preserve">$ </w:t>
            </w:r>
            <w:r w:rsidR="00E87E0A">
              <w:rPr>
                <w:rFonts w:ascii="Times New Roman" w:eastAsia="Arial Unicode MS" w:hAnsi="Times New Roman" w:cs="Times New Roman"/>
                <w:b/>
                <w:bCs/>
                <w:sz w:val="24"/>
                <w:szCs w:val="24"/>
              </w:rPr>
              <w:t>245.5</w:t>
            </w:r>
          </w:p>
        </w:tc>
      </w:tr>
    </w:tbl>
    <w:p w14:paraId="35D85DEE" w14:textId="77777777" w:rsidR="00E02DE7" w:rsidRDefault="00E02DE7" w:rsidP="00E2797F">
      <w:pPr>
        <w:autoSpaceDE w:val="0"/>
        <w:autoSpaceDN w:val="0"/>
        <w:adjustRightInd w:val="0"/>
        <w:spacing w:after="0" w:line="240" w:lineRule="auto"/>
        <w:contextualSpacing/>
        <w:rPr>
          <w:rFonts w:ascii="Times New Roman" w:hAnsi="Times New Roman" w:cs="Times New Roman"/>
          <w:sz w:val="24"/>
          <w:szCs w:val="24"/>
        </w:rPr>
      </w:pPr>
    </w:p>
    <w:p w14:paraId="64D6F014" w14:textId="5177D25C" w:rsidR="00FF5B53" w:rsidRPr="00BC0F6A" w:rsidRDefault="00FF5B53" w:rsidP="00FF5B53">
      <w:pPr>
        <w:autoSpaceDE w:val="0"/>
        <w:autoSpaceDN w:val="0"/>
        <w:adjustRightInd w:val="0"/>
        <w:spacing w:after="0" w:line="240" w:lineRule="auto"/>
        <w:contextualSpacing/>
        <w:rPr>
          <w:rFonts w:ascii="Times New Roman" w:hAnsi="Times New Roman"/>
          <w:bCs/>
          <w:i/>
          <w:sz w:val="24"/>
          <w:szCs w:val="24"/>
        </w:rPr>
      </w:pPr>
      <w:r w:rsidRPr="004B4D5A">
        <w:rPr>
          <w:rFonts w:ascii="Times New Roman" w:hAnsi="Times New Roman"/>
          <w:bCs/>
          <w:i/>
          <w:sz w:val="24"/>
          <w:szCs w:val="24"/>
          <w:highlight w:val="red"/>
        </w:rPr>
        <w:t>Please explain any significant increase or decrease in investments in Non-federal p</w:t>
      </w:r>
      <w:r w:rsidR="007D2E70">
        <w:rPr>
          <w:rFonts w:ascii="Times New Roman" w:hAnsi="Times New Roman"/>
          <w:bCs/>
          <w:i/>
          <w:sz w:val="24"/>
          <w:szCs w:val="24"/>
          <w:highlight w:val="red"/>
        </w:rPr>
        <w:t>hysical property between FY 202</w:t>
      </w:r>
      <w:r w:rsidR="00716A85">
        <w:rPr>
          <w:rFonts w:ascii="Times New Roman" w:hAnsi="Times New Roman"/>
          <w:bCs/>
          <w:i/>
          <w:sz w:val="24"/>
          <w:szCs w:val="24"/>
          <w:highlight w:val="red"/>
        </w:rPr>
        <w:t>3</w:t>
      </w:r>
      <w:r w:rsidR="007D2E70">
        <w:rPr>
          <w:rFonts w:ascii="Times New Roman" w:hAnsi="Times New Roman"/>
          <w:bCs/>
          <w:i/>
          <w:sz w:val="24"/>
          <w:szCs w:val="24"/>
          <w:highlight w:val="red"/>
        </w:rPr>
        <w:t xml:space="preserve"> and FY 202</w:t>
      </w:r>
      <w:r w:rsidR="00716A85">
        <w:rPr>
          <w:rFonts w:ascii="Times New Roman" w:hAnsi="Times New Roman"/>
          <w:bCs/>
          <w:i/>
          <w:sz w:val="24"/>
          <w:szCs w:val="24"/>
          <w:highlight w:val="red"/>
        </w:rPr>
        <w:t>4</w:t>
      </w:r>
      <w:r w:rsidRPr="004B4D5A">
        <w:rPr>
          <w:rFonts w:ascii="Times New Roman" w:hAnsi="Times New Roman"/>
          <w:bCs/>
          <w:i/>
          <w:sz w:val="24"/>
          <w:szCs w:val="24"/>
          <w:highlight w:val="red"/>
        </w:rPr>
        <w:t>.</w:t>
      </w:r>
    </w:p>
    <w:p w14:paraId="4F052E57" w14:textId="77777777" w:rsidR="00075902" w:rsidRDefault="00075902" w:rsidP="00075902">
      <w:pPr>
        <w:autoSpaceDE w:val="0"/>
        <w:autoSpaceDN w:val="0"/>
        <w:adjustRightInd w:val="0"/>
        <w:spacing w:after="0" w:line="240" w:lineRule="auto"/>
        <w:contextualSpacing/>
        <w:rPr>
          <w:rFonts w:ascii="Times New Roman" w:hAnsi="Times New Roman" w:cs="Times New Roman"/>
          <w:bCs/>
          <w:color w:val="211D1E"/>
          <w:sz w:val="24"/>
          <w:szCs w:val="24"/>
        </w:rPr>
      </w:pPr>
    </w:p>
    <w:p w14:paraId="136A90B6" w14:textId="24AFFB99" w:rsidR="00AB63B6" w:rsidRPr="00CC7D7D" w:rsidRDefault="00AB63B6" w:rsidP="0082090C">
      <w:pPr>
        <w:autoSpaceDE w:val="0"/>
        <w:autoSpaceDN w:val="0"/>
        <w:adjustRightInd w:val="0"/>
        <w:spacing w:after="0" w:line="240" w:lineRule="auto"/>
        <w:contextualSpacing/>
        <w:rPr>
          <w:rFonts w:ascii="Times New Roman" w:hAnsi="Times New Roman" w:cs="Times New Roman"/>
          <w:bCs/>
          <w:color w:val="211D1E"/>
          <w:sz w:val="24"/>
          <w:szCs w:val="24"/>
        </w:rPr>
      </w:pPr>
      <w:r w:rsidRPr="00CC7D7D">
        <w:rPr>
          <w:rFonts w:ascii="Times New Roman" w:hAnsi="Times New Roman" w:cs="Times New Roman"/>
          <w:bCs/>
          <w:color w:val="211D1E"/>
          <w:sz w:val="24"/>
          <w:szCs w:val="24"/>
        </w:rPr>
        <w:t>EDA investments in non-federal physical property</w:t>
      </w:r>
      <w:r w:rsidR="004456B3">
        <w:rPr>
          <w:rFonts w:ascii="Times New Roman" w:hAnsi="Times New Roman" w:cs="Times New Roman"/>
          <w:bCs/>
          <w:color w:val="211D1E"/>
          <w:sz w:val="24"/>
          <w:szCs w:val="24"/>
        </w:rPr>
        <w:t>, other than Disaster Recovery</w:t>
      </w:r>
      <w:r w:rsidR="00775B88">
        <w:rPr>
          <w:rFonts w:ascii="Times New Roman" w:hAnsi="Times New Roman" w:cs="Times New Roman"/>
          <w:bCs/>
          <w:color w:val="211D1E"/>
          <w:sz w:val="24"/>
          <w:szCs w:val="24"/>
        </w:rPr>
        <w:t xml:space="preserve"> and COVID-19 relief</w:t>
      </w:r>
      <w:r w:rsidR="004456B3">
        <w:rPr>
          <w:rFonts w:ascii="Times New Roman" w:hAnsi="Times New Roman" w:cs="Times New Roman"/>
          <w:bCs/>
          <w:color w:val="211D1E"/>
          <w:sz w:val="24"/>
          <w:szCs w:val="24"/>
        </w:rPr>
        <w:t>,</w:t>
      </w:r>
      <w:r w:rsidRPr="00CC7D7D">
        <w:rPr>
          <w:rFonts w:ascii="Times New Roman" w:hAnsi="Times New Roman" w:cs="Times New Roman"/>
          <w:bCs/>
          <w:color w:val="211D1E"/>
          <w:sz w:val="24"/>
          <w:szCs w:val="24"/>
        </w:rPr>
        <w:t xml:space="preserve"> require matching funds by state and local governments of 20 to 50 percent.</w:t>
      </w:r>
      <w:r w:rsidR="00BD2271">
        <w:rPr>
          <w:rFonts w:ascii="Times New Roman" w:hAnsi="Times New Roman" w:cs="Times New Roman"/>
          <w:bCs/>
          <w:color w:val="211D1E"/>
          <w:sz w:val="24"/>
          <w:szCs w:val="24"/>
        </w:rPr>
        <w:t xml:space="preserve">  Disaster Recovery </w:t>
      </w:r>
      <w:r w:rsidR="00775B88">
        <w:rPr>
          <w:rFonts w:ascii="Times New Roman" w:hAnsi="Times New Roman" w:cs="Times New Roman"/>
          <w:bCs/>
          <w:color w:val="211D1E"/>
          <w:sz w:val="24"/>
          <w:szCs w:val="24"/>
        </w:rPr>
        <w:t xml:space="preserve">and COVID-19 relief </w:t>
      </w:r>
      <w:r w:rsidR="00BD2271">
        <w:rPr>
          <w:rFonts w:ascii="Times New Roman" w:hAnsi="Times New Roman" w:cs="Times New Roman"/>
          <w:bCs/>
          <w:color w:val="211D1E"/>
          <w:sz w:val="24"/>
          <w:szCs w:val="24"/>
        </w:rPr>
        <w:t>grants do not require matching funds and can be up to 100 percent of the investment costs.</w:t>
      </w:r>
    </w:p>
    <w:p w14:paraId="7A3E550E" w14:textId="77777777" w:rsidR="00AB63B6" w:rsidRPr="00CC7D7D" w:rsidRDefault="00AB63B6" w:rsidP="0082090C">
      <w:pPr>
        <w:autoSpaceDE w:val="0"/>
        <w:autoSpaceDN w:val="0"/>
        <w:adjustRightInd w:val="0"/>
        <w:spacing w:after="0" w:line="240" w:lineRule="auto"/>
        <w:contextualSpacing/>
        <w:rPr>
          <w:rFonts w:ascii="Times New Roman" w:hAnsi="Times New Roman" w:cs="Times New Roman"/>
          <w:bCs/>
          <w:color w:val="211D1E"/>
          <w:sz w:val="24"/>
          <w:szCs w:val="24"/>
        </w:rPr>
      </w:pPr>
    </w:p>
    <w:p w14:paraId="1EEA1ADC" w14:textId="61ACE402" w:rsidR="00B241DB" w:rsidRPr="002E7686" w:rsidRDefault="00E2797F" w:rsidP="00B241DB">
      <w:pPr>
        <w:autoSpaceDE w:val="0"/>
        <w:autoSpaceDN w:val="0"/>
        <w:adjustRightInd w:val="0"/>
        <w:spacing w:after="0" w:line="240" w:lineRule="auto"/>
        <w:contextualSpacing/>
        <w:rPr>
          <w:rFonts w:ascii="Times New Roman" w:hAnsi="Times New Roman" w:cs="Times New Roman"/>
          <w:bCs/>
          <w:color w:val="211D1E"/>
          <w:sz w:val="24"/>
          <w:szCs w:val="24"/>
        </w:rPr>
      </w:pPr>
      <w:r w:rsidRPr="00CC7D7D">
        <w:rPr>
          <w:rFonts w:ascii="Times New Roman" w:hAnsi="Times New Roman" w:cs="Times New Roman"/>
          <w:b/>
          <w:bCs/>
          <w:color w:val="211D1E"/>
          <w:sz w:val="24"/>
          <w:szCs w:val="24"/>
        </w:rPr>
        <w:t xml:space="preserve">Public Works: </w:t>
      </w:r>
      <w:r w:rsidR="002E7686">
        <w:rPr>
          <w:rFonts w:ascii="Times New Roman" w:hAnsi="Times New Roman" w:cs="Times New Roman"/>
          <w:b/>
          <w:bCs/>
          <w:color w:val="211D1E"/>
          <w:sz w:val="24"/>
          <w:szCs w:val="24"/>
        </w:rPr>
        <w:t xml:space="preserve"> </w:t>
      </w:r>
      <w:r w:rsidR="00B241DB" w:rsidRPr="00DF4CB3">
        <w:rPr>
          <w:rFonts w:ascii="Times New Roman" w:hAnsi="Times New Roman" w:cs="Times New Roman"/>
          <w:bCs/>
          <w:color w:val="211D1E"/>
          <w:sz w:val="24"/>
          <w:szCs w:val="24"/>
        </w:rPr>
        <w:t xml:space="preserve">The Public Works program </w:t>
      </w:r>
      <w:r w:rsidR="0079621E">
        <w:rPr>
          <w:rFonts w:ascii="Times New Roman" w:hAnsi="Times New Roman" w:cs="Times New Roman"/>
          <w:bCs/>
          <w:color w:val="211D1E"/>
          <w:sz w:val="24"/>
          <w:szCs w:val="24"/>
        </w:rPr>
        <w:t xml:space="preserve">promotes long-term economic development in distressed areas by providing investments for vital public infrastructure and development facilities.  These critical investments </w:t>
      </w:r>
      <w:r w:rsidR="00B241DB" w:rsidRPr="00DF4CB3">
        <w:rPr>
          <w:rFonts w:ascii="Times New Roman" w:hAnsi="Times New Roman" w:cs="Times New Roman"/>
          <w:bCs/>
          <w:color w:val="211D1E"/>
          <w:sz w:val="24"/>
          <w:szCs w:val="24"/>
        </w:rPr>
        <w:t>enables communities to attract new</w:t>
      </w:r>
      <w:r w:rsidR="0079621E">
        <w:rPr>
          <w:rFonts w:ascii="Times New Roman" w:hAnsi="Times New Roman" w:cs="Times New Roman"/>
          <w:bCs/>
          <w:color w:val="211D1E"/>
          <w:sz w:val="24"/>
          <w:szCs w:val="24"/>
        </w:rPr>
        <w:t xml:space="preserve">, or support existing, </w:t>
      </w:r>
      <w:r w:rsidR="00B241DB" w:rsidRPr="00DF4CB3">
        <w:rPr>
          <w:rFonts w:ascii="Times New Roman" w:hAnsi="Times New Roman" w:cs="Times New Roman"/>
          <w:bCs/>
          <w:color w:val="211D1E"/>
          <w:sz w:val="24"/>
          <w:szCs w:val="24"/>
        </w:rPr>
        <w:t>business</w:t>
      </w:r>
      <w:r w:rsidR="0079621E">
        <w:rPr>
          <w:rFonts w:ascii="Times New Roman" w:hAnsi="Times New Roman" w:cs="Times New Roman"/>
          <w:bCs/>
          <w:color w:val="211D1E"/>
          <w:sz w:val="24"/>
          <w:szCs w:val="24"/>
        </w:rPr>
        <w:t>es that will generate new jobs and income for unemployed and underemployed residents.</w:t>
      </w:r>
    </w:p>
    <w:p w14:paraId="23CA3A77" w14:textId="32196218" w:rsidR="002E7686" w:rsidRPr="002E7686" w:rsidRDefault="002E7686" w:rsidP="002E7686">
      <w:pPr>
        <w:autoSpaceDE w:val="0"/>
        <w:autoSpaceDN w:val="0"/>
        <w:adjustRightInd w:val="0"/>
        <w:spacing w:after="0" w:line="240" w:lineRule="auto"/>
        <w:contextualSpacing/>
        <w:rPr>
          <w:rFonts w:ascii="Times New Roman" w:hAnsi="Times New Roman" w:cs="Times New Roman"/>
          <w:bCs/>
          <w:color w:val="211D1E"/>
          <w:sz w:val="24"/>
          <w:szCs w:val="24"/>
        </w:rPr>
      </w:pPr>
    </w:p>
    <w:p w14:paraId="65E1147A" w14:textId="77777777" w:rsidR="00804FAE" w:rsidRPr="00804FAE" w:rsidRDefault="00E2797F" w:rsidP="00804FAE">
      <w:pPr>
        <w:autoSpaceDE w:val="0"/>
        <w:autoSpaceDN w:val="0"/>
        <w:adjustRightInd w:val="0"/>
        <w:spacing w:after="0" w:line="240" w:lineRule="auto"/>
        <w:contextualSpacing/>
        <w:rPr>
          <w:rFonts w:ascii="Times New Roman" w:hAnsi="Times New Roman" w:cs="Times New Roman"/>
          <w:bCs/>
          <w:color w:val="211D1E"/>
          <w:sz w:val="24"/>
          <w:szCs w:val="24"/>
        </w:rPr>
      </w:pPr>
      <w:r w:rsidRPr="00CC7D7D">
        <w:rPr>
          <w:rFonts w:ascii="Times New Roman" w:hAnsi="Times New Roman" w:cs="Times New Roman"/>
          <w:b/>
          <w:bCs/>
          <w:color w:val="211D1E"/>
          <w:sz w:val="24"/>
          <w:szCs w:val="24"/>
        </w:rPr>
        <w:lastRenderedPageBreak/>
        <w:t>Economic Adjustment Assistance:</w:t>
      </w:r>
      <w:r w:rsidR="002E7686">
        <w:rPr>
          <w:rFonts w:ascii="Times New Roman" w:hAnsi="Times New Roman" w:cs="Times New Roman"/>
          <w:b/>
          <w:bCs/>
          <w:color w:val="211D1E"/>
          <w:sz w:val="24"/>
          <w:szCs w:val="24"/>
        </w:rPr>
        <w:t xml:space="preserve">  </w:t>
      </w:r>
      <w:r w:rsidR="002E7686" w:rsidRPr="002E7686">
        <w:rPr>
          <w:rFonts w:ascii="Times New Roman" w:hAnsi="Times New Roman" w:cs="Times New Roman"/>
          <w:color w:val="211D1E"/>
          <w:sz w:val="24"/>
          <w:szCs w:val="24"/>
        </w:rPr>
        <w:t xml:space="preserve">The Economic Adjustment Assistance program provides </w:t>
      </w:r>
      <w:r w:rsidR="0079621E">
        <w:rPr>
          <w:rFonts w:ascii="Times New Roman" w:hAnsi="Times New Roman" w:cs="Times New Roman"/>
          <w:color w:val="211D1E"/>
          <w:sz w:val="24"/>
          <w:szCs w:val="24"/>
        </w:rPr>
        <w:t>flexible investments for communities facing sudden or severe economic distress to diversify and stabilize their economies.</w:t>
      </w:r>
      <w:r w:rsidR="00804FAE">
        <w:rPr>
          <w:rFonts w:ascii="Times New Roman" w:hAnsi="Times New Roman" w:cs="Times New Roman"/>
          <w:color w:val="211D1E"/>
          <w:sz w:val="24"/>
          <w:szCs w:val="24"/>
        </w:rPr>
        <w:t xml:space="preserve">  </w:t>
      </w:r>
      <w:r w:rsidR="00804FAE" w:rsidRPr="00804FAE">
        <w:rPr>
          <w:rFonts w:ascii="Times New Roman" w:hAnsi="Times New Roman" w:cs="Times New Roman"/>
          <w:bCs/>
          <w:color w:val="211D1E"/>
          <w:sz w:val="24"/>
          <w:szCs w:val="24"/>
        </w:rPr>
        <w:t>EDA's investments in non-federal physical property include key public infrastructure, such as technology-based facilities that utilize distance learning networks, smart rooms, and smart buildings; multitenant manufacturing and other facilities; business and industrial parks with fiber optic cable; and telecommunications and development facilities. In addition, EDA invests in traditional public works projects, including water and sewer systems improvements, industrial parks, business incubator facilities, expansion of port and harbor facilities, skill-training facilities, and brownfields redevelopment.</w:t>
      </w:r>
    </w:p>
    <w:p w14:paraId="34B113FC" w14:textId="0EA1B05F" w:rsidR="003A053E" w:rsidRDefault="003A053E" w:rsidP="002E7686">
      <w:pPr>
        <w:autoSpaceDE w:val="0"/>
        <w:autoSpaceDN w:val="0"/>
        <w:adjustRightInd w:val="0"/>
        <w:spacing w:after="0" w:line="240" w:lineRule="auto"/>
        <w:contextualSpacing/>
        <w:rPr>
          <w:rFonts w:ascii="Times New Roman" w:hAnsi="Times New Roman" w:cs="Times New Roman"/>
          <w:color w:val="211D1E"/>
          <w:sz w:val="24"/>
          <w:szCs w:val="24"/>
        </w:rPr>
      </w:pPr>
    </w:p>
    <w:p w14:paraId="58C57FFC" w14:textId="1FF2777F" w:rsidR="008D2F2A" w:rsidRPr="00DF4CB3" w:rsidRDefault="003A053E" w:rsidP="008D2F2A">
      <w:pPr>
        <w:autoSpaceDE w:val="0"/>
        <w:autoSpaceDN w:val="0"/>
        <w:adjustRightInd w:val="0"/>
        <w:spacing w:after="0" w:line="240" w:lineRule="auto"/>
        <w:contextualSpacing/>
        <w:rPr>
          <w:rFonts w:ascii="Times New Roman" w:hAnsi="Times New Roman" w:cs="Times New Roman"/>
          <w:bCs/>
          <w:color w:val="211D1E"/>
          <w:sz w:val="24"/>
          <w:szCs w:val="24"/>
        </w:rPr>
      </w:pPr>
      <w:r w:rsidRPr="00735B75">
        <w:rPr>
          <w:rFonts w:ascii="Times New Roman" w:hAnsi="Times New Roman" w:cs="Times New Roman"/>
          <w:b/>
          <w:bCs/>
          <w:color w:val="211D1E"/>
          <w:sz w:val="24"/>
          <w:szCs w:val="24"/>
        </w:rPr>
        <w:t xml:space="preserve">Assistance to Coal Communities:  </w:t>
      </w:r>
      <w:r w:rsidR="008D2F2A" w:rsidRPr="00DF4CB3">
        <w:rPr>
          <w:rFonts w:ascii="Times New Roman" w:hAnsi="Times New Roman" w:cs="Times New Roman"/>
          <w:bCs/>
          <w:color w:val="211D1E"/>
          <w:sz w:val="24"/>
          <w:szCs w:val="24"/>
        </w:rPr>
        <w:t xml:space="preserve">This program </w:t>
      </w:r>
      <w:r w:rsidR="0079621E">
        <w:rPr>
          <w:rFonts w:ascii="Times New Roman" w:hAnsi="Times New Roman" w:cs="Times New Roman"/>
          <w:bCs/>
          <w:color w:val="211D1E"/>
          <w:sz w:val="24"/>
          <w:szCs w:val="24"/>
        </w:rPr>
        <w:t xml:space="preserve">competitively awards grants to coalitions of regionally </w:t>
      </w:r>
      <w:r w:rsidR="008D2F2A" w:rsidRPr="00DF4CB3">
        <w:rPr>
          <w:rFonts w:ascii="Times New Roman" w:hAnsi="Times New Roman" w:cs="Times New Roman"/>
          <w:bCs/>
          <w:color w:val="211D1E"/>
          <w:sz w:val="24"/>
          <w:szCs w:val="24"/>
        </w:rPr>
        <w:t xml:space="preserve">driven </w:t>
      </w:r>
      <w:r w:rsidR="0079621E">
        <w:rPr>
          <w:rFonts w:ascii="Times New Roman" w:hAnsi="Times New Roman" w:cs="Times New Roman"/>
          <w:bCs/>
          <w:color w:val="211D1E"/>
          <w:sz w:val="24"/>
          <w:szCs w:val="24"/>
        </w:rPr>
        <w:t xml:space="preserve">economic development and workforce development organizations anchored in impacted coal communities.  These grants enable grantees to take deliberate and measured steps to build economic resilience, industry diversification, promote new job creation opportunities. </w:t>
      </w:r>
    </w:p>
    <w:p w14:paraId="73D07154" w14:textId="5D6B99EC" w:rsidR="008D2F2A" w:rsidRDefault="008D2F2A" w:rsidP="00B241DB">
      <w:pPr>
        <w:autoSpaceDE w:val="0"/>
        <w:autoSpaceDN w:val="0"/>
        <w:adjustRightInd w:val="0"/>
        <w:spacing w:after="0" w:line="240" w:lineRule="auto"/>
        <w:contextualSpacing/>
        <w:rPr>
          <w:rFonts w:ascii="Times New Roman" w:hAnsi="Times New Roman" w:cs="Times New Roman"/>
          <w:bCs/>
          <w:color w:val="211D1E"/>
          <w:sz w:val="24"/>
          <w:szCs w:val="24"/>
        </w:rPr>
      </w:pPr>
    </w:p>
    <w:p w14:paraId="163EEA27" w14:textId="77777777" w:rsidR="00306C90" w:rsidRDefault="00306C90" w:rsidP="00306C90">
      <w:pPr>
        <w:autoSpaceDE w:val="0"/>
        <w:autoSpaceDN w:val="0"/>
        <w:adjustRightInd w:val="0"/>
        <w:spacing w:after="0" w:line="240" w:lineRule="auto"/>
        <w:contextualSpacing/>
        <w:rPr>
          <w:rFonts w:ascii="Times New Roman" w:hAnsi="Times New Roman" w:cs="Times New Roman"/>
          <w:bCs/>
          <w:color w:val="211D1E"/>
          <w:sz w:val="24"/>
          <w:szCs w:val="24"/>
        </w:rPr>
      </w:pPr>
      <w:r w:rsidRPr="00DF4CB3">
        <w:rPr>
          <w:rFonts w:ascii="Times New Roman" w:hAnsi="Times New Roman" w:cs="Times New Roman"/>
          <w:b/>
          <w:bCs/>
          <w:color w:val="211D1E"/>
          <w:sz w:val="24"/>
          <w:szCs w:val="24"/>
        </w:rPr>
        <w:t xml:space="preserve">Assistance to Nuclear Closure Communities:  </w:t>
      </w:r>
      <w:r w:rsidRPr="00DF4CB3">
        <w:rPr>
          <w:rFonts w:ascii="Times New Roman" w:hAnsi="Times New Roman" w:cs="Times New Roman"/>
          <w:bCs/>
          <w:color w:val="211D1E"/>
          <w:sz w:val="24"/>
          <w:szCs w:val="24"/>
        </w:rPr>
        <w:t>This program competitively awards grants to coalitions of regionally-driven economic development and workforce development organizations anchored in impacted nuclear communities. These grants enable grantees to take deliberate and measured steps to build economic resilience, industry diversification, and promote new job creation opportunities.</w:t>
      </w:r>
    </w:p>
    <w:p w14:paraId="6BF7F843" w14:textId="170781AD" w:rsidR="003A053E" w:rsidRDefault="003A053E" w:rsidP="003A053E">
      <w:pPr>
        <w:autoSpaceDE w:val="0"/>
        <w:autoSpaceDN w:val="0"/>
        <w:adjustRightInd w:val="0"/>
        <w:spacing w:after="0" w:line="240" w:lineRule="auto"/>
        <w:contextualSpacing/>
        <w:rPr>
          <w:rFonts w:ascii="Times New Roman" w:hAnsi="Times New Roman" w:cs="Times New Roman"/>
          <w:color w:val="211D1E"/>
          <w:sz w:val="24"/>
          <w:szCs w:val="24"/>
        </w:rPr>
      </w:pPr>
    </w:p>
    <w:p w14:paraId="0A246666" w14:textId="5309ACEF" w:rsidR="00B241DB" w:rsidRDefault="003A053E" w:rsidP="00B241DB">
      <w:pPr>
        <w:autoSpaceDE w:val="0"/>
        <w:autoSpaceDN w:val="0"/>
        <w:adjustRightInd w:val="0"/>
        <w:spacing w:after="0" w:line="240" w:lineRule="auto"/>
        <w:contextualSpacing/>
        <w:rPr>
          <w:rFonts w:ascii="Times New Roman" w:hAnsi="Times New Roman" w:cs="Times New Roman"/>
          <w:bCs/>
          <w:color w:val="211D1E"/>
          <w:sz w:val="24"/>
          <w:szCs w:val="24"/>
        </w:rPr>
      </w:pPr>
      <w:r w:rsidRPr="00CC7D7D">
        <w:rPr>
          <w:rFonts w:ascii="Times New Roman" w:hAnsi="Times New Roman" w:cs="Times New Roman"/>
          <w:b/>
          <w:bCs/>
          <w:color w:val="211D1E"/>
          <w:sz w:val="24"/>
          <w:szCs w:val="24"/>
        </w:rPr>
        <w:t>Disaster Recovery:</w:t>
      </w:r>
      <w:r>
        <w:rPr>
          <w:rFonts w:ascii="Times New Roman" w:hAnsi="Times New Roman" w:cs="Times New Roman"/>
          <w:b/>
          <w:bCs/>
          <w:color w:val="211D1E"/>
          <w:sz w:val="24"/>
          <w:szCs w:val="24"/>
        </w:rPr>
        <w:t xml:space="preserve">  </w:t>
      </w:r>
      <w:r w:rsidR="00B241DB" w:rsidRPr="002E7686">
        <w:rPr>
          <w:rFonts w:ascii="Times New Roman" w:hAnsi="Times New Roman" w:cs="Times New Roman"/>
          <w:bCs/>
          <w:color w:val="211D1E"/>
          <w:sz w:val="24"/>
          <w:szCs w:val="24"/>
        </w:rPr>
        <w:t>EDA</w:t>
      </w:r>
      <w:r w:rsidR="0079621E">
        <w:rPr>
          <w:rFonts w:ascii="Times New Roman" w:hAnsi="Times New Roman" w:cs="Times New Roman"/>
          <w:bCs/>
          <w:color w:val="211D1E"/>
          <w:sz w:val="24"/>
          <w:szCs w:val="24"/>
        </w:rPr>
        <w:t xml:space="preserve"> supports the repair of infrastructure and economic development-related facilities damaged by floods and other natural disasters.  Funding for Disaster Recovery is generally through supplemental appropriations from Congress for recovery efforts to save, sustain, and preserve private enterprise and job creation in economically distressed communities.</w:t>
      </w:r>
    </w:p>
    <w:p w14:paraId="4E787938" w14:textId="4EEA468B" w:rsidR="00116CF9" w:rsidRDefault="00116CF9" w:rsidP="003A053E">
      <w:pPr>
        <w:autoSpaceDE w:val="0"/>
        <w:autoSpaceDN w:val="0"/>
        <w:adjustRightInd w:val="0"/>
        <w:spacing w:after="0" w:line="240" w:lineRule="auto"/>
        <w:contextualSpacing/>
        <w:rPr>
          <w:rFonts w:ascii="Times New Roman" w:hAnsi="Times New Roman" w:cs="Times New Roman"/>
          <w:bCs/>
          <w:color w:val="211D1E"/>
          <w:sz w:val="24"/>
          <w:szCs w:val="24"/>
        </w:rPr>
      </w:pPr>
    </w:p>
    <w:p w14:paraId="4B575B44" w14:textId="0878AF95" w:rsidR="00FE57CB" w:rsidRDefault="00804FAE" w:rsidP="0070178D">
      <w:pPr>
        <w:autoSpaceDE w:val="0"/>
        <w:autoSpaceDN w:val="0"/>
        <w:adjustRightInd w:val="0"/>
        <w:spacing w:after="0" w:line="240" w:lineRule="auto"/>
        <w:contextualSpacing/>
        <w:rPr>
          <w:rFonts w:ascii="Times New Roman" w:hAnsi="Times New Roman" w:cs="Times New Roman"/>
          <w:bCs/>
          <w:color w:val="211D1E"/>
          <w:sz w:val="24"/>
          <w:szCs w:val="24"/>
        </w:rPr>
      </w:pPr>
      <w:r w:rsidRPr="007D597A">
        <w:rPr>
          <w:rFonts w:ascii="Times New Roman" w:hAnsi="Times New Roman" w:cs="Times New Roman"/>
          <w:b/>
          <w:bCs/>
          <w:color w:val="211D1E"/>
          <w:sz w:val="24"/>
          <w:szCs w:val="24"/>
        </w:rPr>
        <w:t>COVID-19 Relief</w:t>
      </w:r>
      <w:r w:rsidR="00584A60" w:rsidRPr="007D597A">
        <w:rPr>
          <w:rFonts w:ascii="Times New Roman" w:hAnsi="Times New Roman" w:cs="Times New Roman"/>
          <w:b/>
          <w:bCs/>
          <w:color w:val="211D1E"/>
          <w:sz w:val="24"/>
          <w:szCs w:val="24"/>
        </w:rPr>
        <w:t xml:space="preserve">:  </w:t>
      </w:r>
      <w:r w:rsidR="00775B88">
        <w:rPr>
          <w:rFonts w:ascii="Times New Roman" w:hAnsi="Times New Roman" w:cs="Times New Roman"/>
          <w:bCs/>
          <w:color w:val="211D1E"/>
          <w:sz w:val="24"/>
          <w:szCs w:val="24"/>
        </w:rPr>
        <w:t xml:space="preserve">EDA received </w:t>
      </w:r>
      <w:r w:rsidR="00775B88">
        <w:rPr>
          <w:rFonts w:ascii="Times New Roman" w:hAnsi="Times New Roman" w:cs="Times New Roman"/>
          <w:color w:val="211D1E"/>
          <w:sz w:val="24"/>
          <w:szCs w:val="24"/>
        </w:rPr>
        <w:t xml:space="preserve">supplemental appropriations to prevent, prepare for, and respond to </w:t>
      </w:r>
      <w:r w:rsidR="00820D45" w:rsidRPr="00820D45">
        <w:rPr>
          <w:rFonts w:ascii="Times New Roman" w:hAnsi="Times New Roman" w:cs="Times New Roman"/>
          <w:color w:val="211D1E"/>
          <w:sz w:val="24"/>
          <w:szCs w:val="24"/>
        </w:rPr>
        <w:t>COVID-19</w:t>
      </w:r>
      <w:r w:rsidR="00775B88">
        <w:rPr>
          <w:rFonts w:ascii="Times New Roman" w:hAnsi="Times New Roman" w:cs="Times New Roman"/>
          <w:color w:val="211D1E"/>
          <w:sz w:val="24"/>
          <w:szCs w:val="24"/>
        </w:rPr>
        <w:t>,</w:t>
      </w:r>
      <w:r w:rsidR="00820D45" w:rsidRPr="00820D45">
        <w:rPr>
          <w:rFonts w:ascii="Times New Roman" w:hAnsi="Times New Roman" w:cs="Times New Roman"/>
          <w:color w:val="211D1E"/>
          <w:sz w:val="24"/>
          <w:szCs w:val="24"/>
        </w:rPr>
        <w:t xml:space="preserve"> </w:t>
      </w:r>
      <w:r w:rsidR="0079621E" w:rsidRPr="007D597A">
        <w:rPr>
          <w:rFonts w:ascii="Times New Roman" w:hAnsi="Times New Roman" w:cs="Times New Roman"/>
          <w:bCs/>
          <w:color w:val="211D1E"/>
          <w:sz w:val="24"/>
          <w:szCs w:val="24"/>
        </w:rPr>
        <w:t xml:space="preserve">domestically or internationally through </w:t>
      </w:r>
      <w:r w:rsidR="004456B3" w:rsidRPr="007D597A">
        <w:rPr>
          <w:rFonts w:ascii="Times New Roman" w:hAnsi="Times New Roman" w:cs="Times New Roman"/>
          <w:bCs/>
          <w:color w:val="211D1E"/>
          <w:sz w:val="24"/>
          <w:szCs w:val="24"/>
        </w:rPr>
        <w:t>programs authorized under Economic Adjustment Assistance, for which EDA also receives annual appropriations.</w:t>
      </w:r>
      <w:r w:rsidR="004456B3">
        <w:rPr>
          <w:rFonts w:ascii="Times New Roman" w:hAnsi="Times New Roman" w:cs="Times New Roman"/>
          <w:bCs/>
          <w:color w:val="211D1E"/>
          <w:sz w:val="24"/>
          <w:szCs w:val="24"/>
        </w:rPr>
        <w:t xml:space="preserve"> </w:t>
      </w:r>
      <w:r w:rsidR="00775B88">
        <w:rPr>
          <w:rFonts w:ascii="Times New Roman" w:hAnsi="Times New Roman" w:cs="Times New Roman"/>
          <w:bCs/>
          <w:color w:val="211D1E"/>
          <w:sz w:val="24"/>
          <w:szCs w:val="24"/>
        </w:rPr>
        <w:t xml:space="preserve">The program funding received for COVID-19 relief expired at the end of FY 2022 so there are </w:t>
      </w:r>
      <w:r w:rsidR="00775B88" w:rsidRPr="00775B88">
        <w:rPr>
          <w:rFonts w:ascii="Times New Roman" w:hAnsi="Times New Roman" w:cs="Times New Roman"/>
          <w:bCs/>
          <w:color w:val="211D1E"/>
          <w:sz w:val="24"/>
          <w:szCs w:val="24"/>
          <w:highlight w:val="red"/>
        </w:rPr>
        <w:t>no obligations in FY 2023 but there is one upward adjustment of $769 thousand</w:t>
      </w:r>
      <w:r w:rsidR="00775B88">
        <w:rPr>
          <w:rFonts w:ascii="Times New Roman" w:hAnsi="Times New Roman" w:cs="Times New Roman"/>
          <w:bCs/>
          <w:color w:val="211D1E"/>
          <w:sz w:val="24"/>
          <w:szCs w:val="24"/>
        </w:rPr>
        <w:t>.</w:t>
      </w:r>
    </w:p>
    <w:p w14:paraId="4FD57663" w14:textId="1B081431" w:rsidR="007D2E70" w:rsidRDefault="007D2E70" w:rsidP="0070178D">
      <w:pPr>
        <w:autoSpaceDE w:val="0"/>
        <w:autoSpaceDN w:val="0"/>
        <w:adjustRightInd w:val="0"/>
        <w:spacing w:after="0" w:line="240" w:lineRule="auto"/>
        <w:contextualSpacing/>
        <w:rPr>
          <w:rFonts w:ascii="Times New Roman" w:hAnsi="Times New Roman" w:cs="Times New Roman"/>
          <w:bCs/>
          <w:color w:val="211D1E"/>
          <w:sz w:val="24"/>
          <w:szCs w:val="24"/>
        </w:rPr>
      </w:pPr>
    </w:p>
    <w:p w14:paraId="1FFB4CE2" w14:textId="6F730B7F" w:rsidR="007D2E70" w:rsidRDefault="007D2E70" w:rsidP="0070178D">
      <w:pPr>
        <w:autoSpaceDE w:val="0"/>
        <w:autoSpaceDN w:val="0"/>
        <w:adjustRightInd w:val="0"/>
        <w:spacing w:after="0" w:line="240" w:lineRule="auto"/>
        <w:contextualSpacing/>
        <w:rPr>
          <w:rFonts w:ascii="Times New Roman" w:hAnsi="Times New Roman"/>
          <w:bCs/>
          <w:i/>
          <w:sz w:val="24"/>
          <w:szCs w:val="24"/>
        </w:rPr>
      </w:pPr>
    </w:p>
    <w:p w14:paraId="2B8CF0F0" w14:textId="77777777" w:rsidR="00603024" w:rsidRDefault="00603024" w:rsidP="0070178D">
      <w:pPr>
        <w:autoSpaceDE w:val="0"/>
        <w:autoSpaceDN w:val="0"/>
        <w:adjustRightInd w:val="0"/>
        <w:spacing w:after="0" w:line="240" w:lineRule="auto"/>
        <w:contextualSpacing/>
        <w:rPr>
          <w:rFonts w:ascii="Times New Roman" w:hAnsi="Times New Roman" w:cs="Times New Roman"/>
          <w:bCs/>
          <w:color w:val="211D1E"/>
          <w:sz w:val="24"/>
          <w:szCs w:val="24"/>
        </w:rPr>
      </w:pPr>
    </w:p>
    <w:p w14:paraId="16730DEC" w14:textId="77777777" w:rsidR="00116CF9" w:rsidRPr="00CC7D7D" w:rsidRDefault="00116CF9" w:rsidP="0070178D">
      <w:pPr>
        <w:autoSpaceDE w:val="0"/>
        <w:autoSpaceDN w:val="0"/>
        <w:adjustRightInd w:val="0"/>
        <w:spacing w:after="0" w:line="240" w:lineRule="auto"/>
        <w:contextualSpacing/>
        <w:rPr>
          <w:rFonts w:ascii="Times New Roman" w:hAnsi="Times New Roman" w:cs="Times New Roman"/>
          <w:sz w:val="24"/>
          <w:szCs w:val="24"/>
        </w:rPr>
      </w:pPr>
    </w:p>
    <w:sectPr w:rsidR="00116CF9" w:rsidRPr="00CC7D7D" w:rsidSect="00E02D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17A4D" w14:textId="77777777" w:rsidR="00CC7D7D" w:rsidRDefault="00CC7D7D">
      <w:pPr>
        <w:spacing w:after="0" w:line="240" w:lineRule="auto"/>
      </w:pPr>
      <w:r>
        <w:separator/>
      </w:r>
    </w:p>
  </w:endnote>
  <w:endnote w:type="continuationSeparator" w:id="0">
    <w:p w14:paraId="71C161FB" w14:textId="77777777" w:rsidR="00CC7D7D" w:rsidRDefault="00CC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539791"/>
      <w:docPartObj>
        <w:docPartGallery w:val="Page Numbers (Bottom of Page)"/>
        <w:docPartUnique/>
      </w:docPartObj>
    </w:sdtPr>
    <w:sdtEndPr/>
    <w:sdtContent>
      <w:sdt>
        <w:sdtPr>
          <w:id w:val="-1669238322"/>
          <w:docPartObj>
            <w:docPartGallery w:val="Page Numbers (Top of Page)"/>
            <w:docPartUnique/>
          </w:docPartObj>
        </w:sdtPr>
        <w:sdtEndPr/>
        <w:sdtContent>
          <w:p w14:paraId="0E0A9E8D" w14:textId="40C27804" w:rsidR="00E02DE7" w:rsidRDefault="00E02DE7">
            <w:pPr>
              <w:pStyle w:val="Footer"/>
              <w:jc w:val="center"/>
            </w:pPr>
            <w:r w:rsidRPr="00E02DE7">
              <w:rPr>
                <w:rFonts w:ascii="Times New Roman" w:hAnsi="Times New Roman" w:cs="Times New Roman"/>
                <w:sz w:val="24"/>
                <w:szCs w:val="24"/>
              </w:rPr>
              <w:t xml:space="preserve">Page </w:t>
            </w:r>
            <w:r w:rsidRPr="00E02DE7">
              <w:rPr>
                <w:rFonts w:ascii="Times New Roman" w:hAnsi="Times New Roman" w:cs="Times New Roman"/>
                <w:b/>
                <w:bCs/>
                <w:sz w:val="24"/>
                <w:szCs w:val="24"/>
              </w:rPr>
              <w:fldChar w:fldCharType="begin"/>
            </w:r>
            <w:r w:rsidRPr="00E02DE7">
              <w:rPr>
                <w:rFonts w:ascii="Times New Roman" w:hAnsi="Times New Roman" w:cs="Times New Roman"/>
                <w:b/>
                <w:bCs/>
                <w:sz w:val="24"/>
                <w:szCs w:val="24"/>
              </w:rPr>
              <w:instrText xml:space="preserve"> PAGE </w:instrText>
            </w:r>
            <w:r w:rsidRPr="00E02DE7">
              <w:rPr>
                <w:rFonts w:ascii="Times New Roman" w:hAnsi="Times New Roman" w:cs="Times New Roman"/>
                <w:b/>
                <w:bCs/>
                <w:sz w:val="24"/>
                <w:szCs w:val="24"/>
              </w:rPr>
              <w:fldChar w:fldCharType="separate"/>
            </w:r>
            <w:r w:rsidR="007D597A">
              <w:rPr>
                <w:rFonts w:ascii="Times New Roman" w:hAnsi="Times New Roman" w:cs="Times New Roman"/>
                <w:b/>
                <w:bCs/>
                <w:noProof/>
                <w:sz w:val="24"/>
                <w:szCs w:val="24"/>
              </w:rPr>
              <w:t>2</w:t>
            </w:r>
            <w:r w:rsidRPr="00E02DE7">
              <w:rPr>
                <w:rFonts w:ascii="Times New Roman" w:hAnsi="Times New Roman" w:cs="Times New Roman"/>
                <w:b/>
                <w:bCs/>
                <w:sz w:val="24"/>
                <w:szCs w:val="24"/>
              </w:rPr>
              <w:fldChar w:fldCharType="end"/>
            </w:r>
            <w:r w:rsidRPr="00E02DE7">
              <w:rPr>
                <w:rFonts w:ascii="Times New Roman" w:hAnsi="Times New Roman" w:cs="Times New Roman"/>
                <w:sz w:val="24"/>
                <w:szCs w:val="24"/>
              </w:rPr>
              <w:t xml:space="preserve"> of </w:t>
            </w:r>
            <w:r w:rsidRPr="00E02DE7">
              <w:rPr>
                <w:rFonts w:ascii="Times New Roman" w:hAnsi="Times New Roman" w:cs="Times New Roman"/>
                <w:b/>
                <w:bCs/>
                <w:sz w:val="24"/>
                <w:szCs w:val="24"/>
              </w:rPr>
              <w:fldChar w:fldCharType="begin"/>
            </w:r>
            <w:r w:rsidRPr="00E02DE7">
              <w:rPr>
                <w:rFonts w:ascii="Times New Roman" w:hAnsi="Times New Roman" w:cs="Times New Roman"/>
                <w:b/>
                <w:bCs/>
                <w:sz w:val="24"/>
                <w:szCs w:val="24"/>
              </w:rPr>
              <w:instrText xml:space="preserve"> NUMPAGES  </w:instrText>
            </w:r>
            <w:r w:rsidRPr="00E02DE7">
              <w:rPr>
                <w:rFonts w:ascii="Times New Roman" w:hAnsi="Times New Roman" w:cs="Times New Roman"/>
                <w:b/>
                <w:bCs/>
                <w:sz w:val="24"/>
                <w:szCs w:val="24"/>
              </w:rPr>
              <w:fldChar w:fldCharType="separate"/>
            </w:r>
            <w:r w:rsidR="007D597A">
              <w:rPr>
                <w:rFonts w:ascii="Times New Roman" w:hAnsi="Times New Roman" w:cs="Times New Roman"/>
                <w:b/>
                <w:bCs/>
                <w:noProof/>
                <w:sz w:val="24"/>
                <w:szCs w:val="24"/>
              </w:rPr>
              <w:t>2</w:t>
            </w:r>
            <w:r w:rsidRPr="00E02DE7">
              <w:rPr>
                <w:rFonts w:ascii="Times New Roman" w:hAnsi="Times New Roman" w:cs="Times New Roman"/>
                <w:b/>
                <w:bCs/>
                <w:sz w:val="24"/>
                <w:szCs w:val="24"/>
              </w:rPr>
              <w:fldChar w:fldCharType="end"/>
            </w:r>
          </w:p>
        </w:sdtContent>
      </w:sdt>
    </w:sdtContent>
  </w:sdt>
  <w:p w14:paraId="48713022" w14:textId="77777777" w:rsidR="00CC7D7D" w:rsidRDefault="00CC7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98FB" w14:textId="77777777" w:rsidR="00CC7D7D" w:rsidRDefault="00CC7D7D">
      <w:pPr>
        <w:spacing w:after="0" w:line="240" w:lineRule="auto"/>
      </w:pPr>
      <w:r>
        <w:separator/>
      </w:r>
    </w:p>
  </w:footnote>
  <w:footnote w:type="continuationSeparator" w:id="0">
    <w:p w14:paraId="7B4E54B6" w14:textId="77777777" w:rsidR="00CC7D7D" w:rsidRDefault="00CC7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32C8" w14:textId="77777777" w:rsidR="00C765BD" w:rsidRPr="00E02DE7" w:rsidRDefault="00C765BD" w:rsidP="00C765BD">
    <w:pPr>
      <w:pStyle w:val="Header"/>
      <w:jc w:val="center"/>
      <w:rPr>
        <w:rFonts w:ascii="Times New Roman" w:hAnsi="Times New Roman" w:cs="Times New Roman"/>
        <w:b/>
        <w:sz w:val="24"/>
        <w:szCs w:val="24"/>
      </w:rPr>
    </w:pPr>
    <w:r w:rsidRPr="00E02DE7">
      <w:rPr>
        <w:rFonts w:ascii="Times New Roman" w:hAnsi="Times New Roman" w:cs="Times New Roman"/>
        <w:b/>
        <w:sz w:val="24"/>
        <w:szCs w:val="24"/>
      </w:rPr>
      <w:t>Economic Development Administration</w:t>
    </w:r>
    <w:r w:rsidR="00E02DE7">
      <w:rPr>
        <w:rFonts w:ascii="Times New Roman" w:hAnsi="Times New Roman" w:cs="Times New Roman"/>
        <w:b/>
        <w:sz w:val="24"/>
        <w:szCs w:val="24"/>
      </w:rPr>
      <w:t xml:space="preserve"> (EDA)</w:t>
    </w:r>
  </w:p>
  <w:p w14:paraId="7EC407CE" w14:textId="77777777" w:rsidR="00E02DE7" w:rsidRPr="00E02DE7" w:rsidRDefault="00E02DE7" w:rsidP="00C765BD">
    <w:pPr>
      <w:pStyle w:val="Header"/>
      <w:jc w:val="center"/>
      <w:rPr>
        <w:rFonts w:ascii="Times New Roman" w:hAnsi="Times New Roman" w:cs="Times New Roman"/>
        <w:b/>
        <w:sz w:val="24"/>
        <w:szCs w:val="24"/>
      </w:rPr>
    </w:pPr>
    <w:r w:rsidRPr="00E02DE7">
      <w:rPr>
        <w:rFonts w:ascii="Times New Roman" w:hAnsi="Times New Roman" w:cs="Times New Roman"/>
        <w:b/>
        <w:sz w:val="24"/>
        <w:szCs w:val="24"/>
      </w:rPr>
      <w:t>STEWARDSHIP INFORMATION</w:t>
    </w:r>
  </w:p>
  <w:p w14:paraId="3B6F988B" w14:textId="3E887B19" w:rsidR="00FA2FDB" w:rsidRDefault="007909D4" w:rsidP="00FA2FDB">
    <w:pPr>
      <w:pStyle w:val="Header"/>
      <w:jc w:val="center"/>
      <w:rPr>
        <w:rFonts w:ascii="Times New Roman" w:hAnsi="Times New Roman" w:cs="Times New Roman"/>
        <w:b/>
        <w:sz w:val="24"/>
        <w:szCs w:val="24"/>
      </w:rPr>
    </w:pPr>
    <w:r>
      <w:rPr>
        <w:rFonts w:ascii="Times New Roman" w:hAnsi="Times New Roman" w:cs="Times New Roman"/>
        <w:b/>
        <w:sz w:val="24"/>
        <w:szCs w:val="24"/>
      </w:rPr>
      <w:t>March 31, 2024</w:t>
    </w:r>
  </w:p>
  <w:p w14:paraId="6756B150" w14:textId="3179212B" w:rsidR="00FF5B53" w:rsidRDefault="00FF5B53" w:rsidP="00FA2FDB">
    <w:pPr>
      <w:pStyle w:val="Header"/>
      <w:jc w:val="center"/>
      <w:rPr>
        <w:rFonts w:ascii="Times New Roman" w:hAnsi="Times New Roman" w:cs="Times New Roman"/>
        <w:b/>
        <w:sz w:val="24"/>
        <w:szCs w:val="24"/>
      </w:rPr>
    </w:pPr>
  </w:p>
  <w:p w14:paraId="62FFBEB1" w14:textId="77777777" w:rsidR="00FF5B53" w:rsidRDefault="00FF5B53" w:rsidP="00FF5B53">
    <w:pPr>
      <w:pStyle w:val="Header"/>
      <w:rPr>
        <w:rFonts w:ascii="Times New Roman" w:hAnsi="Times New Roman" w:cs="Times New Roman"/>
        <w:b/>
        <w:sz w:val="24"/>
        <w:szCs w:val="24"/>
      </w:rPr>
    </w:pPr>
    <w:r w:rsidRPr="001D46F1">
      <w:rPr>
        <w:rFonts w:ascii="Times New Roman" w:eastAsia="Times New Roman" w:hAnsi="Times New Roman"/>
        <w:b/>
        <w:sz w:val="24"/>
        <w:szCs w:val="24"/>
        <w:lang w:val="x-none" w:eastAsia="x-none"/>
      </w:rPr>
      <w:t>(PLEASE REVIEW THIS DOCUMENT AND UPDATE AS NECESSARY, ESPECIALLY ALL IT</w:t>
    </w:r>
    <w:r>
      <w:rPr>
        <w:rFonts w:ascii="Times New Roman" w:eastAsia="Times New Roman" w:hAnsi="Times New Roman"/>
        <w:b/>
        <w:sz w:val="24"/>
        <w:szCs w:val="24"/>
        <w:lang w:eastAsia="x-none"/>
      </w:rPr>
      <w:t>E</w:t>
    </w:r>
    <w:r w:rsidRPr="001D46F1">
      <w:rPr>
        <w:rFonts w:ascii="Times New Roman" w:eastAsia="Times New Roman" w:hAnsi="Times New Roman"/>
        <w:b/>
        <w:sz w:val="24"/>
        <w:szCs w:val="24"/>
        <w:lang w:val="x-none" w:eastAsia="x-none"/>
      </w:rPr>
      <w:t xml:space="preserve">MS IN </w:t>
    </w:r>
    <w:r w:rsidRPr="001D46F1">
      <w:rPr>
        <w:rFonts w:ascii="Times New Roman" w:eastAsia="Times New Roman" w:hAnsi="Times New Roman"/>
        <w:b/>
        <w:sz w:val="24"/>
        <w:szCs w:val="24"/>
        <w:highlight w:val="red"/>
        <w:lang w:val="x-none" w:eastAsia="x-none"/>
      </w:rPr>
      <w:t>RED</w:t>
    </w:r>
    <w:r>
      <w:rPr>
        <w:rFonts w:ascii="Times New Roman" w:eastAsia="Times New Roman" w:hAnsi="Times New Roman"/>
        <w:b/>
        <w:sz w:val="24"/>
        <w:szCs w:val="24"/>
        <w:lang w:eastAsia="x-none"/>
      </w:rPr>
      <w:t>.</w:t>
    </w:r>
    <w:r w:rsidRPr="001D46F1">
      <w:rPr>
        <w:rFonts w:ascii="Times New Roman" w:eastAsia="Times New Roman" w:hAnsi="Times New Roman"/>
        <w:b/>
        <w:sz w:val="24"/>
        <w:szCs w:val="24"/>
        <w:lang w:val="x-none" w:eastAsia="x-none"/>
      </w:rPr>
      <w:t xml:space="preserve"> </w:t>
    </w:r>
    <w:r>
      <w:rPr>
        <w:rFonts w:ascii="Times New Roman" w:eastAsia="Times New Roman" w:hAnsi="Times New Roman"/>
        <w:b/>
        <w:sz w:val="24"/>
        <w:szCs w:val="24"/>
        <w:lang w:eastAsia="x-none"/>
      </w:rPr>
      <w:t xml:space="preserve"> PLEASE SHADE </w:t>
    </w:r>
    <w:r w:rsidRPr="001D46F1">
      <w:rPr>
        <w:rFonts w:ascii="Times New Roman" w:eastAsia="Times New Roman" w:hAnsi="Times New Roman"/>
        <w:b/>
        <w:sz w:val="24"/>
        <w:szCs w:val="24"/>
        <w:lang w:val="x-none" w:eastAsia="x-none"/>
      </w:rPr>
      <w:t xml:space="preserve">ANY CHANGES </w:t>
    </w:r>
    <w:r w:rsidRPr="001D46F1">
      <w:rPr>
        <w:rFonts w:ascii="Times New Roman" w:eastAsia="Times New Roman" w:hAnsi="Times New Roman"/>
        <w:b/>
        <w:sz w:val="24"/>
        <w:szCs w:val="24"/>
        <w:highlight w:val="green"/>
        <w:lang w:val="x-none" w:eastAsia="x-none"/>
      </w:rPr>
      <w:t>GREEN</w:t>
    </w:r>
    <w:r w:rsidRPr="001D46F1">
      <w:rPr>
        <w:rFonts w:ascii="Times New Roman" w:eastAsia="Times New Roman" w:hAnsi="Times New Roman"/>
        <w:b/>
        <w:sz w:val="24"/>
        <w:szCs w:val="24"/>
        <w:lang w:val="x-none" w:eastAsia="x-none"/>
      </w:rPr>
      <w:t xml:space="preserve"> TO ENSURE THEYARE VISIBLE.</w:t>
    </w:r>
    <w:r>
      <w:rPr>
        <w:rFonts w:ascii="Times New Roman" w:eastAsia="Times New Roman" w:hAnsi="Times New Roman"/>
        <w:b/>
        <w:sz w:val="24"/>
        <w:szCs w:val="24"/>
        <w:lang w:eastAsia="x-none"/>
      </w:rPr>
      <w:t xml:space="preserve">  </w:t>
    </w:r>
    <w:r w:rsidRPr="00166BA9">
      <w:rPr>
        <w:rFonts w:ascii="Times New Roman" w:eastAsia="Times New Roman" w:hAnsi="Times New Roman"/>
        <w:b/>
        <w:sz w:val="24"/>
        <w:szCs w:val="24"/>
        <w:lang w:eastAsia="x-none"/>
      </w:rPr>
      <w:t xml:space="preserve">PLEASE SHADE ANY INFORMATION </w:t>
    </w:r>
    <w:r w:rsidRPr="00166BA9">
      <w:rPr>
        <w:rFonts w:ascii="Times New Roman" w:eastAsia="Times New Roman" w:hAnsi="Times New Roman"/>
        <w:b/>
        <w:sz w:val="24"/>
        <w:szCs w:val="24"/>
        <w:highlight w:val="blue"/>
        <w:lang w:eastAsia="x-none"/>
      </w:rPr>
      <w:t>BLUE</w:t>
    </w:r>
    <w:r w:rsidRPr="00166BA9">
      <w:rPr>
        <w:rFonts w:ascii="Times New Roman" w:eastAsia="Times New Roman" w:hAnsi="Times New Roman"/>
        <w:b/>
        <w:sz w:val="24"/>
        <w:szCs w:val="24"/>
        <w:lang w:eastAsia="x-none"/>
      </w:rPr>
      <w:t xml:space="preserve"> THAT HAS BEEN CONFIRMED BUT NOT CHANGED. </w:t>
    </w:r>
    <w:r w:rsidRPr="001D46F1">
      <w:rPr>
        <w:rFonts w:ascii="Times New Roman" w:eastAsia="Times New Roman" w:hAnsi="Times New Roman"/>
        <w:b/>
        <w:sz w:val="24"/>
        <w:szCs w:val="24"/>
        <w:lang w:val="x-none" w:eastAsia="x-none"/>
      </w:rPr>
      <w:t>)</w:t>
    </w:r>
  </w:p>
  <w:p w14:paraId="786EC4E4" w14:textId="77777777" w:rsidR="00800830" w:rsidRDefault="00800830" w:rsidP="003E1CE4">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B9477C"/>
    <w:multiLevelType w:val="hybridMultilevel"/>
    <w:tmpl w:val="01FE16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F251D"/>
    <w:multiLevelType w:val="hybridMultilevel"/>
    <w:tmpl w:val="81C625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5178E3"/>
    <w:multiLevelType w:val="hybridMultilevel"/>
    <w:tmpl w:val="C7A6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27DC9"/>
    <w:multiLevelType w:val="hybridMultilevel"/>
    <w:tmpl w:val="44A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B62F1"/>
    <w:multiLevelType w:val="hybridMultilevel"/>
    <w:tmpl w:val="51E4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56E4D"/>
    <w:multiLevelType w:val="hybridMultilevel"/>
    <w:tmpl w:val="97E8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F08C9"/>
    <w:multiLevelType w:val="hybridMultilevel"/>
    <w:tmpl w:val="8BC2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F3A2E"/>
    <w:multiLevelType w:val="hybridMultilevel"/>
    <w:tmpl w:val="CB46E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923855"/>
    <w:multiLevelType w:val="hybridMultilevel"/>
    <w:tmpl w:val="B8181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8"/>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7F"/>
    <w:rsid w:val="00023F13"/>
    <w:rsid w:val="00075902"/>
    <w:rsid w:val="00086034"/>
    <w:rsid w:val="000950FC"/>
    <w:rsid w:val="000B105E"/>
    <w:rsid w:val="000E7858"/>
    <w:rsid w:val="0011151F"/>
    <w:rsid w:val="00111FB4"/>
    <w:rsid w:val="00116CF9"/>
    <w:rsid w:val="001174AB"/>
    <w:rsid w:val="00117783"/>
    <w:rsid w:val="001452AC"/>
    <w:rsid w:val="001465F7"/>
    <w:rsid w:val="001A2DE3"/>
    <w:rsid w:val="001C4A63"/>
    <w:rsid w:val="001D7102"/>
    <w:rsid w:val="002104F7"/>
    <w:rsid w:val="00211B72"/>
    <w:rsid w:val="00217E84"/>
    <w:rsid w:val="00226569"/>
    <w:rsid w:val="0024012D"/>
    <w:rsid w:val="002472C6"/>
    <w:rsid w:val="00262789"/>
    <w:rsid w:val="0026690A"/>
    <w:rsid w:val="00267805"/>
    <w:rsid w:val="00282D85"/>
    <w:rsid w:val="002927EE"/>
    <w:rsid w:val="002A3625"/>
    <w:rsid w:val="002E2B4D"/>
    <w:rsid w:val="002E7686"/>
    <w:rsid w:val="002F3DB2"/>
    <w:rsid w:val="002F4DDB"/>
    <w:rsid w:val="00306C90"/>
    <w:rsid w:val="00311CAA"/>
    <w:rsid w:val="00330EEC"/>
    <w:rsid w:val="00335D21"/>
    <w:rsid w:val="0034480A"/>
    <w:rsid w:val="00346055"/>
    <w:rsid w:val="0038697F"/>
    <w:rsid w:val="003935EC"/>
    <w:rsid w:val="003A053E"/>
    <w:rsid w:val="003D71AE"/>
    <w:rsid w:val="003E07F8"/>
    <w:rsid w:val="003E1CE4"/>
    <w:rsid w:val="003F0D2F"/>
    <w:rsid w:val="003F6A9B"/>
    <w:rsid w:val="004000FC"/>
    <w:rsid w:val="004105A0"/>
    <w:rsid w:val="00423938"/>
    <w:rsid w:val="00425ECB"/>
    <w:rsid w:val="004353A7"/>
    <w:rsid w:val="004456B3"/>
    <w:rsid w:val="00491059"/>
    <w:rsid w:val="00493927"/>
    <w:rsid w:val="00493E16"/>
    <w:rsid w:val="004B2536"/>
    <w:rsid w:val="004B4D5A"/>
    <w:rsid w:val="004C08D9"/>
    <w:rsid w:val="004C5DBD"/>
    <w:rsid w:val="004E04C5"/>
    <w:rsid w:val="00502495"/>
    <w:rsid w:val="0050306A"/>
    <w:rsid w:val="00561ABD"/>
    <w:rsid w:val="00584A60"/>
    <w:rsid w:val="00586187"/>
    <w:rsid w:val="00594D32"/>
    <w:rsid w:val="005B7B8E"/>
    <w:rsid w:val="005C5823"/>
    <w:rsid w:val="005F35F5"/>
    <w:rsid w:val="00603024"/>
    <w:rsid w:val="00606F41"/>
    <w:rsid w:val="00607DB3"/>
    <w:rsid w:val="00622AA2"/>
    <w:rsid w:val="0062416A"/>
    <w:rsid w:val="006561F8"/>
    <w:rsid w:val="0069456A"/>
    <w:rsid w:val="006A6702"/>
    <w:rsid w:val="006C3261"/>
    <w:rsid w:val="006D011A"/>
    <w:rsid w:val="006E6178"/>
    <w:rsid w:val="0070178D"/>
    <w:rsid w:val="00716A85"/>
    <w:rsid w:val="00727A02"/>
    <w:rsid w:val="007439A6"/>
    <w:rsid w:val="00763C16"/>
    <w:rsid w:val="00775B88"/>
    <w:rsid w:val="00776A8D"/>
    <w:rsid w:val="007909D4"/>
    <w:rsid w:val="00790B25"/>
    <w:rsid w:val="007947A2"/>
    <w:rsid w:val="0079621E"/>
    <w:rsid w:val="007C598E"/>
    <w:rsid w:val="007D132A"/>
    <w:rsid w:val="007D2E70"/>
    <w:rsid w:val="007D597A"/>
    <w:rsid w:val="00800830"/>
    <w:rsid w:val="00804FAE"/>
    <w:rsid w:val="00805D8F"/>
    <w:rsid w:val="00810D4F"/>
    <w:rsid w:val="0082090C"/>
    <w:rsid w:val="00820D45"/>
    <w:rsid w:val="00824C71"/>
    <w:rsid w:val="00834030"/>
    <w:rsid w:val="008441E3"/>
    <w:rsid w:val="00846024"/>
    <w:rsid w:val="00866178"/>
    <w:rsid w:val="00885F97"/>
    <w:rsid w:val="00896238"/>
    <w:rsid w:val="008D2F2A"/>
    <w:rsid w:val="008D7E82"/>
    <w:rsid w:val="0091169E"/>
    <w:rsid w:val="00922FDD"/>
    <w:rsid w:val="00927E14"/>
    <w:rsid w:val="00965E18"/>
    <w:rsid w:val="009876D1"/>
    <w:rsid w:val="009B1058"/>
    <w:rsid w:val="009B7A55"/>
    <w:rsid w:val="00A1652A"/>
    <w:rsid w:val="00A210F7"/>
    <w:rsid w:val="00A2161B"/>
    <w:rsid w:val="00A2746B"/>
    <w:rsid w:val="00A321BB"/>
    <w:rsid w:val="00A3579F"/>
    <w:rsid w:val="00A40029"/>
    <w:rsid w:val="00A45EAF"/>
    <w:rsid w:val="00A61818"/>
    <w:rsid w:val="00A74E6B"/>
    <w:rsid w:val="00A77038"/>
    <w:rsid w:val="00A82EF5"/>
    <w:rsid w:val="00AA51D2"/>
    <w:rsid w:val="00AB63B6"/>
    <w:rsid w:val="00B241DB"/>
    <w:rsid w:val="00B409E3"/>
    <w:rsid w:val="00B54083"/>
    <w:rsid w:val="00B61BC1"/>
    <w:rsid w:val="00B645BD"/>
    <w:rsid w:val="00B96AF9"/>
    <w:rsid w:val="00BC6BEB"/>
    <w:rsid w:val="00BD2271"/>
    <w:rsid w:val="00BD5086"/>
    <w:rsid w:val="00BD56F6"/>
    <w:rsid w:val="00BE4F0F"/>
    <w:rsid w:val="00C22947"/>
    <w:rsid w:val="00C31C48"/>
    <w:rsid w:val="00C35F40"/>
    <w:rsid w:val="00C418A3"/>
    <w:rsid w:val="00C55FFA"/>
    <w:rsid w:val="00C641B1"/>
    <w:rsid w:val="00C765BD"/>
    <w:rsid w:val="00C8656A"/>
    <w:rsid w:val="00C903BD"/>
    <w:rsid w:val="00C946CB"/>
    <w:rsid w:val="00CA58C6"/>
    <w:rsid w:val="00CC367F"/>
    <w:rsid w:val="00CC4921"/>
    <w:rsid w:val="00CC7D7D"/>
    <w:rsid w:val="00CD6677"/>
    <w:rsid w:val="00CE1DA1"/>
    <w:rsid w:val="00CE3890"/>
    <w:rsid w:val="00D13FC0"/>
    <w:rsid w:val="00D15B49"/>
    <w:rsid w:val="00D17A20"/>
    <w:rsid w:val="00D20020"/>
    <w:rsid w:val="00D36735"/>
    <w:rsid w:val="00D61794"/>
    <w:rsid w:val="00D86FF8"/>
    <w:rsid w:val="00DA06D5"/>
    <w:rsid w:val="00DB3088"/>
    <w:rsid w:val="00DC2DEB"/>
    <w:rsid w:val="00DE5E13"/>
    <w:rsid w:val="00DF6EB7"/>
    <w:rsid w:val="00E02DE7"/>
    <w:rsid w:val="00E04E91"/>
    <w:rsid w:val="00E2797F"/>
    <w:rsid w:val="00E354A4"/>
    <w:rsid w:val="00E822B9"/>
    <w:rsid w:val="00E87E0A"/>
    <w:rsid w:val="00EA522B"/>
    <w:rsid w:val="00EA701F"/>
    <w:rsid w:val="00EB5F2F"/>
    <w:rsid w:val="00EE3D53"/>
    <w:rsid w:val="00EE6AA2"/>
    <w:rsid w:val="00EF5BF5"/>
    <w:rsid w:val="00F07E35"/>
    <w:rsid w:val="00F242DD"/>
    <w:rsid w:val="00F2444A"/>
    <w:rsid w:val="00F27969"/>
    <w:rsid w:val="00F50F7E"/>
    <w:rsid w:val="00F5465D"/>
    <w:rsid w:val="00F73FD9"/>
    <w:rsid w:val="00F75C26"/>
    <w:rsid w:val="00F82AB7"/>
    <w:rsid w:val="00F86E8D"/>
    <w:rsid w:val="00FA2FDB"/>
    <w:rsid w:val="00FA7054"/>
    <w:rsid w:val="00FB2F14"/>
    <w:rsid w:val="00FB5D3D"/>
    <w:rsid w:val="00FC11A2"/>
    <w:rsid w:val="00FD590A"/>
    <w:rsid w:val="00FE2E22"/>
    <w:rsid w:val="00FE3451"/>
    <w:rsid w:val="00FE57CB"/>
    <w:rsid w:val="00FE7B11"/>
    <w:rsid w:val="00FF0FB6"/>
    <w:rsid w:val="00FF5B53"/>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A0CF"/>
  <w15:docId w15:val="{170B5F60-184A-4793-88B8-F4311F18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7F"/>
    <w:pPr>
      <w:ind w:left="720"/>
      <w:contextualSpacing/>
    </w:pPr>
  </w:style>
  <w:style w:type="paragraph" w:styleId="Header">
    <w:name w:val="header"/>
    <w:basedOn w:val="Normal"/>
    <w:link w:val="HeaderChar"/>
    <w:uiPriority w:val="99"/>
    <w:unhideWhenUsed/>
    <w:rsid w:val="00E27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97F"/>
  </w:style>
  <w:style w:type="paragraph" w:styleId="Footer">
    <w:name w:val="footer"/>
    <w:basedOn w:val="Normal"/>
    <w:link w:val="FooterChar"/>
    <w:uiPriority w:val="99"/>
    <w:unhideWhenUsed/>
    <w:rsid w:val="00E27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7F"/>
  </w:style>
  <w:style w:type="paragraph" w:styleId="BalloonText">
    <w:name w:val="Balloon Text"/>
    <w:basedOn w:val="Normal"/>
    <w:link w:val="BalloonTextChar"/>
    <w:uiPriority w:val="99"/>
    <w:semiHidden/>
    <w:unhideWhenUsed/>
    <w:rsid w:val="00E2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97F"/>
    <w:rPr>
      <w:rFonts w:ascii="Tahoma" w:hAnsi="Tahoma" w:cs="Tahoma"/>
      <w:sz w:val="16"/>
      <w:szCs w:val="16"/>
    </w:rPr>
  </w:style>
  <w:style w:type="paragraph" w:styleId="CommentText">
    <w:name w:val="annotation text"/>
    <w:basedOn w:val="Normal"/>
    <w:link w:val="CommentTextChar"/>
    <w:uiPriority w:val="99"/>
    <w:semiHidden/>
    <w:unhideWhenUsed/>
    <w:rsid w:val="00E2797F"/>
    <w:pPr>
      <w:spacing w:line="240" w:lineRule="auto"/>
    </w:pPr>
    <w:rPr>
      <w:sz w:val="20"/>
      <w:szCs w:val="20"/>
    </w:rPr>
  </w:style>
  <w:style w:type="character" w:customStyle="1" w:styleId="CommentTextChar">
    <w:name w:val="Comment Text Char"/>
    <w:basedOn w:val="DefaultParagraphFont"/>
    <w:link w:val="CommentText"/>
    <w:uiPriority w:val="99"/>
    <w:semiHidden/>
    <w:rsid w:val="00E2797F"/>
    <w:rPr>
      <w:sz w:val="20"/>
      <w:szCs w:val="20"/>
    </w:rPr>
  </w:style>
  <w:style w:type="character" w:customStyle="1" w:styleId="CommentSubjectChar">
    <w:name w:val="Comment Subject Char"/>
    <w:basedOn w:val="CommentTextChar"/>
    <w:link w:val="CommentSubject"/>
    <w:uiPriority w:val="99"/>
    <w:semiHidden/>
    <w:rsid w:val="00E2797F"/>
    <w:rPr>
      <w:b/>
      <w:bCs/>
      <w:sz w:val="20"/>
      <w:szCs w:val="20"/>
    </w:rPr>
  </w:style>
  <w:style w:type="paragraph" w:styleId="CommentSubject">
    <w:name w:val="annotation subject"/>
    <w:basedOn w:val="CommentText"/>
    <w:next w:val="CommentText"/>
    <w:link w:val="CommentSubjectChar"/>
    <w:uiPriority w:val="99"/>
    <w:semiHidden/>
    <w:unhideWhenUsed/>
    <w:rsid w:val="00E2797F"/>
    <w:rPr>
      <w:b/>
      <w:bCs/>
    </w:rPr>
  </w:style>
  <w:style w:type="character" w:customStyle="1" w:styleId="apple-converted-space">
    <w:name w:val="apple-converted-space"/>
    <w:rsid w:val="00E2797F"/>
  </w:style>
  <w:style w:type="paragraph" w:customStyle="1" w:styleId="Pa124">
    <w:name w:val="Pa124"/>
    <w:basedOn w:val="Normal"/>
    <w:next w:val="Normal"/>
    <w:uiPriority w:val="99"/>
    <w:rsid w:val="00E2797F"/>
    <w:pPr>
      <w:autoSpaceDE w:val="0"/>
      <w:autoSpaceDN w:val="0"/>
      <w:adjustRightInd w:val="0"/>
      <w:spacing w:after="0" w:line="191" w:lineRule="atLeast"/>
    </w:pPr>
    <w:rPr>
      <w:rFonts w:ascii="Univers LT Std 47 Cn Lt" w:hAnsi="Univers LT Std 47 Cn Lt"/>
      <w:sz w:val="24"/>
      <w:szCs w:val="24"/>
    </w:rPr>
  </w:style>
  <w:style w:type="character" w:styleId="PlaceholderText">
    <w:name w:val="Placeholder Text"/>
    <w:basedOn w:val="DefaultParagraphFont"/>
    <w:uiPriority w:val="99"/>
    <w:semiHidden/>
    <w:rsid w:val="00E2797F"/>
    <w:rPr>
      <w:color w:val="808080"/>
    </w:rPr>
  </w:style>
  <w:style w:type="paragraph" w:customStyle="1" w:styleId="Default">
    <w:name w:val="Default"/>
    <w:rsid w:val="00F82AB7"/>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customStyle="1" w:styleId="Pa15">
    <w:name w:val="Pa15"/>
    <w:basedOn w:val="Default"/>
    <w:next w:val="Default"/>
    <w:uiPriority w:val="99"/>
    <w:rsid w:val="00F82AB7"/>
    <w:pPr>
      <w:spacing w:line="197" w:lineRule="atLeast"/>
    </w:pPr>
    <w:rPr>
      <w:rFonts w:cstheme="minorBidi"/>
      <w:color w:val="auto"/>
    </w:rPr>
  </w:style>
  <w:style w:type="paragraph" w:customStyle="1" w:styleId="Pa128">
    <w:name w:val="Pa128"/>
    <w:basedOn w:val="Default"/>
    <w:next w:val="Default"/>
    <w:uiPriority w:val="99"/>
    <w:rsid w:val="00F82AB7"/>
    <w:pPr>
      <w:spacing w:line="191" w:lineRule="atLeast"/>
    </w:pPr>
    <w:rPr>
      <w:rFonts w:cstheme="minorBidi"/>
      <w:color w:val="auto"/>
    </w:rPr>
  </w:style>
  <w:style w:type="paragraph" w:customStyle="1" w:styleId="Pa123">
    <w:name w:val="Pa123"/>
    <w:basedOn w:val="Default"/>
    <w:next w:val="Default"/>
    <w:uiPriority w:val="99"/>
    <w:rsid w:val="00F82AB7"/>
    <w:pPr>
      <w:spacing w:line="191" w:lineRule="atLeast"/>
    </w:pPr>
    <w:rPr>
      <w:rFonts w:cstheme="minorBidi"/>
      <w:color w:val="auto"/>
    </w:rPr>
  </w:style>
  <w:style w:type="paragraph" w:customStyle="1" w:styleId="Pa133">
    <w:name w:val="Pa133"/>
    <w:basedOn w:val="Default"/>
    <w:next w:val="Default"/>
    <w:uiPriority w:val="99"/>
    <w:rsid w:val="001465F7"/>
    <w:pPr>
      <w:spacing w:line="191" w:lineRule="atLeast"/>
    </w:pPr>
    <w:rPr>
      <w:rFonts w:ascii="Univers LT Std 47 Cn Lt" w:hAnsi="Univers LT Std 47 Cn Lt" w:cstheme="minorBidi"/>
      <w:color w:val="auto"/>
    </w:rPr>
  </w:style>
  <w:style w:type="paragraph" w:customStyle="1" w:styleId="Pa161">
    <w:name w:val="Pa16+1"/>
    <w:basedOn w:val="Default"/>
    <w:next w:val="Default"/>
    <w:uiPriority w:val="99"/>
    <w:rsid w:val="00FB5D3D"/>
    <w:pPr>
      <w:spacing w:line="171" w:lineRule="atLeast"/>
    </w:pPr>
    <w:rPr>
      <w:rFonts w:cstheme="minorBidi"/>
      <w:color w:val="auto"/>
    </w:rPr>
  </w:style>
  <w:style w:type="character" w:styleId="CommentReference">
    <w:name w:val="annotation reference"/>
    <w:basedOn w:val="DefaultParagraphFont"/>
    <w:uiPriority w:val="99"/>
    <w:semiHidden/>
    <w:unhideWhenUsed/>
    <w:rsid w:val="00FC11A2"/>
    <w:rPr>
      <w:sz w:val="16"/>
      <w:szCs w:val="16"/>
    </w:rPr>
  </w:style>
  <w:style w:type="paragraph" w:styleId="Revision">
    <w:name w:val="Revision"/>
    <w:hidden/>
    <w:uiPriority w:val="99"/>
    <w:semiHidden/>
    <w:rsid w:val="00EE3D53"/>
    <w:pPr>
      <w:spacing w:after="0" w:line="240" w:lineRule="auto"/>
    </w:pPr>
  </w:style>
  <w:style w:type="character" w:customStyle="1" w:styleId="il">
    <w:name w:val="il"/>
    <w:basedOn w:val="DefaultParagraphFont"/>
    <w:rsid w:val="0080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8765">
      <w:bodyDiv w:val="1"/>
      <w:marLeft w:val="0"/>
      <w:marRight w:val="0"/>
      <w:marTop w:val="0"/>
      <w:marBottom w:val="0"/>
      <w:divBdr>
        <w:top w:val="none" w:sz="0" w:space="0" w:color="auto"/>
        <w:left w:val="none" w:sz="0" w:space="0" w:color="auto"/>
        <w:bottom w:val="none" w:sz="0" w:space="0" w:color="auto"/>
        <w:right w:val="none" w:sz="0" w:space="0" w:color="auto"/>
      </w:divBdr>
    </w:div>
    <w:div w:id="137765705">
      <w:bodyDiv w:val="1"/>
      <w:marLeft w:val="0"/>
      <w:marRight w:val="0"/>
      <w:marTop w:val="0"/>
      <w:marBottom w:val="0"/>
      <w:divBdr>
        <w:top w:val="none" w:sz="0" w:space="0" w:color="auto"/>
        <w:left w:val="none" w:sz="0" w:space="0" w:color="auto"/>
        <w:bottom w:val="none" w:sz="0" w:space="0" w:color="auto"/>
        <w:right w:val="none" w:sz="0" w:space="0" w:color="auto"/>
      </w:divBdr>
    </w:div>
    <w:div w:id="181020437">
      <w:bodyDiv w:val="1"/>
      <w:marLeft w:val="0"/>
      <w:marRight w:val="0"/>
      <w:marTop w:val="0"/>
      <w:marBottom w:val="0"/>
      <w:divBdr>
        <w:top w:val="none" w:sz="0" w:space="0" w:color="auto"/>
        <w:left w:val="none" w:sz="0" w:space="0" w:color="auto"/>
        <w:bottom w:val="none" w:sz="0" w:space="0" w:color="auto"/>
        <w:right w:val="none" w:sz="0" w:space="0" w:color="auto"/>
      </w:divBdr>
    </w:div>
    <w:div w:id="260534892">
      <w:bodyDiv w:val="1"/>
      <w:marLeft w:val="0"/>
      <w:marRight w:val="0"/>
      <w:marTop w:val="0"/>
      <w:marBottom w:val="0"/>
      <w:divBdr>
        <w:top w:val="none" w:sz="0" w:space="0" w:color="auto"/>
        <w:left w:val="none" w:sz="0" w:space="0" w:color="auto"/>
        <w:bottom w:val="none" w:sz="0" w:space="0" w:color="auto"/>
        <w:right w:val="none" w:sz="0" w:space="0" w:color="auto"/>
      </w:divBdr>
    </w:div>
    <w:div w:id="624166061">
      <w:bodyDiv w:val="1"/>
      <w:marLeft w:val="0"/>
      <w:marRight w:val="0"/>
      <w:marTop w:val="0"/>
      <w:marBottom w:val="0"/>
      <w:divBdr>
        <w:top w:val="none" w:sz="0" w:space="0" w:color="auto"/>
        <w:left w:val="none" w:sz="0" w:space="0" w:color="auto"/>
        <w:bottom w:val="none" w:sz="0" w:space="0" w:color="auto"/>
        <w:right w:val="none" w:sz="0" w:space="0" w:color="auto"/>
      </w:divBdr>
    </w:div>
    <w:div w:id="948585878">
      <w:bodyDiv w:val="1"/>
      <w:marLeft w:val="0"/>
      <w:marRight w:val="0"/>
      <w:marTop w:val="0"/>
      <w:marBottom w:val="0"/>
      <w:divBdr>
        <w:top w:val="none" w:sz="0" w:space="0" w:color="auto"/>
        <w:left w:val="none" w:sz="0" w:space="0" w:color="auto"/>
        <w:bottom w:val="none" w:sz="0" w:space="0" w:color="auto"/>
        <w:right w:val="none" w:sz="0" w:space="0" w:color="auto"/>
      </w:divBdr>
    </w:div>
    <w:div w:id="1374840241">
      <w:bodyDiv w:val="1"/>
      <w:marLeft w:val="0"/>
      <w:marRight w:val="0"/>
      <w:marTop w:val="0"/>
      <w:marBottom w:val="0"/>
      <w:divBdr>
        <w:top w:val="none" w:sz="0" w:space="0" w:color="auto"/>
        <w:left w:val="none" w:sz="0" w:space="0" w:color="auto"/>
        <w:bottom w:val="none" w:sz="0" w:space="0" w:color="auto"/>
        <w:right w:val="none" w:sz="0" w:space="0" w:color="auto"/>
      </w:divBdr>
    </w:div>
    <w:div w:id="17028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8605-1CCF-4A6A-A821-E7BBB052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Atisha Burks</dc:creator>
  <cp:lastModifiedBy>Amy Lin</cp:lastModifiedBy>
  <cp:revision>3</cp:revision>
  <cp:lastPrinted>2021-07-15T10:52:00Z</cp:lastPrinted>
  <dcterms:created xsi:type="dcterms:W3CDTF">2024-02-05T15:06:00Z</dcterms:created>
  <dcterms:modified xsi:type="dcterms:W3CDTF">2024-02-05T15:07:00Z</dcterms:modified>
</cp:coreProperties>
</file>